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FachV-Forst (Bayern) — Bestandteile der Prüfung</w:t>
      </w:r>
    </w:p>
    <w:p>
      <w:r>
        <w:rPr>
          <w:color w:val="555555"/>
          <w:sz w:val="18"/>
        </w:rPr>
        <w:t xml:space="preserve">Fachverordnung Forst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Forstinspektorenprüfung besteht aus den Prüfungsabschnitten</w:t>
      </w:r>
    </w:p>
    <w:p>
      <w:r>
        <w:t xml:space="preserve">1. schriftliche Prüfung,</w:t>
      </w:r>
    </w:p>
    <w:p>
      <w:r>
        <w:t xml:space="preserve">2. mündliche Waldprüfung und</w:t>
      </w:r>
    </w:p>
    <w:p>
      <w:r>
        <w:t xml:space="preserve">3. mündliche Prüfung.</w:t>
      </w:r>
    </w:p>
    <w:p>
      <w:r>
        <w:t xml:space="preserve">(2) Die Große Forstliche Staatsprüfung besteht aus den Prüfungsabschnitten</w:t>
      </w:r>
    </w:p>
    <w:p>
      <w:r>
        <w:t xml:space="preserve">1. schriftliche Prüfung,</w:t>
      </w:r>
    </w:p>
    <w:p>
      <w:r>
        <w:t xml:space="preserve">2. schriftliche Waldprüfung,</w:t>
      </w:r>
    </w:p>
    <w:p>
      <w:r>
        <w:t xml:space="preserve">3. mündliche Waldprüfung und</w:t>
      </w:r>
    </w:p>
    <w:p>
      <w:r>
        <w:t xml:space="preserve">4. mündliche Prüfung.</w:t>
      </w:r>
    </w:p>
    <w:p>
      <w:r>
        <w:t xml:space="preserve">(3) Die Ausgestaltung der Prüfungen orientiert sich an den Aufgaben, die nach § 5 Abs. 2 und 3 in der jeweiligen Qualifikationsebene zu erledigen sind.</w:t>
      </w:r>
    </w:p>
    <w:p>
      <w:r>
        <w:t xml:space="preserve">(4) Der Prüfungsausschuss kann die Reihenfolge der Prüfungsabschnitte festlegen und legt den Ablauf und die Ausgestaltung der Prüfungsabschnitte, die jeweilige Arbeitszeit sowie zugelassene Hilfsmittel fest.</w:t>
      </w:r>
    </w:p>
    <w:p>
      <w:r>
        <w:rPr>
          <w:color w:val="555555"/>
          <w:sz w:val="17"/>
        </w:rPr>
        <w:t xml:space="preserve">Zitiervorschlag: § 16 FachV-Forst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https://recht.nulegal.eu/gesetze/FachV-Forst/16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