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FachV-Forst (Bayern) — Fachlicher Schwerpunkt und Geltungsbereich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Fachlaufbahn Naturwissenschaft und Technik wird der fachliche Schwerpunkt Forstdienst gebildet.</w:t>
      </w:r>
    </w:p>
    <w:p>
      <w:r>
        <w:t xml:space="preserve">(2) Die Verordnung gilt für den Einstieg in der dritten oder vierten Qualifikationsebene des fachlichen Schwerpunkts Forstdienst.</w:t>
      </w:r>
    </w:p>
    <w:p>
      <w:r>
        <w:t xml:space="preserve">(3) Soweit diese Verordnung nichts anderes bestimmt, gelten die Vorschriften der Allgemeinen Prüfungsordnung (APO).</w:t>
      </w:r>
    </w:p>
    <w:p>
      <w:r>
        <w:rPr>
          <w:color w:val="555555"/>
          <w:sz w:val="17"/>
        </w:rPr>
        <w:t xml:space="preserve">Zitiervorschlag: § 1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