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FachV-FM (Bayern)</w:t>
      </w:r>
    </w:p>
    <w:p>
      <w:r>
        <w:rPr>
          <w:color w:val="555555"/>
          <w:sz w:val="18"/>
        </w:rPr>
        <w:t xml:space="preserve">Fachverordnung technische und nichttechnische Dienste FM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38 Abs. 2 und Art. 67 Satz 1 Nrn. 1, 2 und 4 des Gesetzes über die Leistungslaufbahn und die Fachlaufbahnen der bayerischen Beamten und Beamtinnen (Leistungslaufbahngesetz – LlbG) vom 5. August 2010 (GVBl S. 410, 571, BayRS 2030-1-4-F) erlässt das Bayerische Staatsministerium der Finanzen im Einvernehmen mit dem Bayerischen Landespersonalausschuss folgende Verordnung:</w:t>
      </w:r>
    </w:p>
    <w:p>
      <w:r>
        <w:rPr>
          <w:color w:val="555555"/>
          <w:sz w:val="17"/>
        </w:rPr>
        <w:t xml:space="preserve">Zitiervorschlag: Eingangsformel FachV-FM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