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FachV-Arch (Bayern) — Urlaub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Erholungsurlaub soll während der berufspraktischen Ausbildung eingebracht werden. Er wird auf den Vorbereitungsdienst angerechnet.</w:t>
      </w:r>
    </w:p>
    <w:p>
      <w:r>
        <w:t xml:space="preserve">(2) Erholungsurlaub und Urlaub aus anderen Anlässen werden von der Generaldirektion der Staatlichen Archive Bayerns genehmigt.</w:t>
      </w:r>
    </w:p>
    <w:p>
      <w:r>
        <w:rPr>
          <w:color w:val="555555"/>
          <w:sz w:val="17"/>
        </w:rPr>
        <w:t xml:space="preserve">Zitiervorschlag: § 5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