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FachV-Arch (Bayern) — Ausbildungsgegenstände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Ausbildung erstreckt sich insbesondere auf folgende Fächer:</w:t>
      </w:r>
    </w:p>
    <w:p>
      <w:r>
        <w:t xml:space="preserve">1. Archivlehre,</w:t>
      </w:r>
    </w:p>
    <w:p>
      <w:r>
        <w:t xml:space="preserve">2. Archivwissenschaft: Aussonderung und Bewertung von Archivgut, Erschließung, behördliche Schriftgutorganisation,</w:t>
      </w:r>
    </w:p>
    <w:p>
      <w:r>
        <w:t xml:space="preserve">3. Archivalienkunde,</w:t>
      </w:r>
    </w:p>
    <w:p>
      <w:r>
        <w:t xml:space="preserve">4. geschichtliche Hilfswissenschaften,</w:t>
      </w:r>
    </w:p>
    <w:p>
      <w:r>
        <w:t xml:space="preserve">5. deutsche, lateinische und französische Schriftkunde,</w:t>
      </w:r>
    </w:p>
    <w:p>
      <w:r>
        <w:t xml:space="preserve">6. Bestandserhaltung,</w:t>
      </w:r>
    </w:p>
    <w:p>
      <w:r>
        <w:t xml:space="preserve">7. Archivbau und Archiveinrichtung,</w:t>
      </w:r>
    </w:p>
    <w:p>
      <w:r>
        <w:t xml:space="preserve">8. EDV und Archiv,</w:t>
      </w:r>
    </w:p>
    <w:p>
      <w:r>
        <w:t xml:space="preserve">9. Archivrecht,</w:t>
      </w:r>
    </w:p>
    <w:p>
      <w:r>
        <w:t xml:space="preserve">10. Verwaltungslehre,</w:t>
      </w:r>
    </w:p>
    <w:p>
      <w:r>
        <w:t xml:space="preserve">11. historisch-politische Bildungsarbeit,</w:t>
      </w:r>
    </w:p>
    <w:p>
      <w:r>
        <w:t xml:space="preserve">12. Verfassungs-, Verwaltungs- und Territorialgeschichte,</w:t>
      </w:r>
    </w:p>
    <w:p>
      <w:r>
        <w:t xml:space="preserve">13. Wirtschafts- und Sozialgeschichte,</w:t>
      </w:r>
    </w:p>
    <w:p>
      <w:r>
        <w:t xml:space="preserve">14. Rechtsgeschichte,</w:t>
      </w:r>
    </w:p>
    <w:p>
      <w:r>
        <w:t xml:space="preserve">15. Kirchenrecht.</w:t>
      </w:r>
    </w:p>
    <w:p>
      <w:r>
        <w:rPr>
          <w:color w:val="555555"/>
          <w:sz w:val="17"/>
        </w:rPr>
        <w:t xml:space="preserve">Zitiervorschlag: § 44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