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FachV-Arch (Bayern) — Schriftliche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Prüfung umfasst</w:t>
      </w:r>
    </w:p>
    <w:p>
      <w:r>
        <w:t xml:space="preserve">1. zwei Aufgaben aus dem Stoff der in § 33 Abs. 1 Nrn. 1 bis 5 aufgeführten Lehrfächer,</w:t>
      </w:r>
    </w:p>
    <w:p>
      <w:r>
        <w:t xml:space="preserve">2. eine Aufgabe aus dem Stoff der in § 33 Abs. 1 Nrn. 6 bis 9 aufgeführten Lehrfächer als Doppelaufgabe,</w:t>
      </w:r>
    </w:p>
    <w:p>
      <w:r>
        <w:t xml:space="preserve">3. eine Aufgabe aus dem Stoff der in § 33 Abs. 1 Nrn. 10 und 11 aufgeführten Lehrfächer als Doppelaufgabe,</w:t>
      </w:r>
    </w:p>
    <w:p>
      <w:r>
        <w:t xml:space="preserve">4. eine Aufgabe aus dem Stoff der in § 33 Abs. 1 Nrn. 12 bis 14 aufgeführten Lehrfächer,</w:t>
      </w:r>
    </w:p>
    <w:p>
      <w:r>
        <w:t xml:space="preserve">5. eine Aufgabe aus dem Stoff der in § 33 Abs. 1 Nrn. 15 und 16 aufgeführten Lehrfächer als Doppelaufgabe,</w:t>
      </w:r>
    </w:p>
    <w:p>
      <w:r>
        <w:t xml:space="preserve">6. eine Aufgabe aus dem Stoff der in § 33 Abs. 1 Nrn. 17 bis 20 aufgeführten Lehrfächer,</w:t>
      </w:r>
    </w:p>
    <w:p>
      <w:r>
        <w:t xml:space="preserve">7. zwei Aufgaben aus dem Stoff der in § 33 Abs. 1 Nrn. 21 bis 23 aufgeführten Lehrfächer.</w:t>
      </w:r>
    </w:p>
    <w:p>
      <w:r>
        <w:t xml:space="preserve">(2) Die Arbeitszeit beträgt je Aufgabe drei Stunden, je Doppelaufgabe fünf Stunden.</w:t>
      </w:r>
    </w:p>
    <w:p>
      <w:r>
        <w:rPr>
          <w:color w:val="555555"/>
          <w:sz w:val="17"/>
        </w:rPr>
        <w:t xml:space="preserve">Zitiervorschlag: § 38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