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FachV-Arch (Bayern) — Lehrfächer des Fachstudiums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Fachstudium erstreckt sich auf folgende Lehrfächer:</w:t>
      </w:r>
    </w:p>
    <w:p>
      <w:r>
        <w:t xml:space="preserve">1. allgemeine Archivlehre,</w:t>
      </w:r>
    </w:p>
    <w:p>
      <w:r>
        <w:t xml:space="preserve">2. Archivgeschichte und Beständekunde,</w:t>
      </w:r>
    </w:p>
    <w:p>
      <w:r>
        <w:t xml:space="preserve">3. nichtstaatliches Archivwesen,</w:t>
      </w:r>
    </w:p>
    <w:p>
      <w:r>
        <w:t xml:space="preserve">4. behördliche Schriftgutorganisation,</w:t>
      </w:r>
    </w:p>
    <w:p>
      <w:r>
        <w:t xml:space="preserve">5. Aktenaussonderung,</w:t>
      </w:r>
    </w:p>
    <w:p>
      <w:r>
        <w:t xml:space="preserve">6. Erschließung von Archivgut,</w:t>
      </w:r>
    </w:p>
    <w:p>
      <w:r>
        <w:t xml:space="preserve">7. Archivalienkunde,</w:t>
      </w:r>
    </w:p>
    <w:p>
      <w:r>
        <w:t xml:space="preserve">8. Archivpflege,</w:t>
      </w:r>
    </w:p>
    <w:p>
      <w:r>
        <w:t xml:space="preserve">9. archivische Bildungsarbeit,</w:t>
      </w:r>
    </w:p>
    <w:p>
      <w:r>
        <w:t xml:space="preserve">10. deutsche und lateinische Schriftkunde,</w:t>
      </w:r>
    </w:p>
    <w:p>
      <w:r>
        <w:t xml:space="preserve">11. Grundbegriffe der Wappen- und Siegelkunde, der Münzkunde und der Zeitrechnung,</w:t>
      </w:r>
    </w:p>
    <w:p>
      <w:r>
        <w:t xml:space="preserve">12. Archivbau und Archiveinrichtung,</w:t>
      </w:r>
    </w:p>
    <w:p>
      <w:r>
        <w:t xml:space="preserve">13. archivische Reprographie und Bestandserhaltung,</w:t>
      </w:r>
    </w:p>
    <w:p>
      <w:r>
        <w:t xml:space="preserve">14. EDV und Archiv,</w:t>
      </w:r>
    </w:p>
    <w:p>
      <w:r>
        <w:t xml:space="preserve">15. Grundzüge der historischen Landesgliederung, der Verfassungs-, Verwaltungs- und Wirtschaftsgeschichte Bayerns,</w:t>
      </w:r>
    </w:p>
    <w:p>
      <w:r>
        <w:t xml:space="preserve">16. Grundbegriffe aus Rechtsgeschichte und Kirchenrecht,</w:t>
      </w:r>
    </w:p>
    <w:p>
      <w:r>
        <w:t xml:space="preserve">17. Archivrecht,</w:t>
      </w:r>
    </w:p>
    <w:p>
      <w:r>
        <w:t xml:space="preserve">18. allgemeine Rechtskunde,</w:t>
      </w:r>
    </w:p>
    <w:p>
      <w:r>
        <w:t xml:space="preserve">19. Staatsrecht und Staatslehre,</w:t>
      </w:r>
    </w:p>
    <w:p>
      <w:r>
        <w:t xml:space="preserve">20. Archivverwaltungslehre,</w:t>
      </w:r>
    </w:p>
    <w:p>
      <w:r>
        <w:t xml:space="preserve">21. öffentliches Dienstrecht,</w:t>
      </w:r>
    </w:p>
    <w:p>
      <w:r>
        <w:t xml:space="preserve">22. Wirtschafts- und Haushaltsführung des Freistaates Bayern und der bayerischen Kommunen,</w:t>
      </w:r>
    </w:p>
    <w:p>
      <w:r>
        <w:t xml:space="preserve">23. Kostenwesen der staatlichen und kommunalen Archive,</w:t>
      </w:r>
    </w:p>
    <w:p>
      <w:r>
        <w:t xml:space="preserve">24. Grundzüge der Bibliotheksverwaltung,</w:t>
      </w:r>
    </w:p>
    <w:p>
      <w:r>
        <w:t xml:space="preserve">25. Informations- und Dokumentationswesen.</w:t>
      </w:r>
    </w:p>
    <w:p>
      <w:r>
        <w:t xml:space="preserve">(2) Einzelheiten des Fachstudiums regelt der vom Fachbereich aufgestellte Studienplan (Art. 9 Abs. 2 Nr. 1 des Gesetzes über die Fachhochschule für öffentliche Verwaltung und Rechtspflege in Bayern – BayFHVRG).</w:t>
      </w:r>
    </w:p>
    <w:p>
      <w:r>
        <w:rPr>
          <w:color w:val="555555"/>
          <w:sz w:val="17"/>
        </w:rPr>
        <w:t xml:space="preserve">Zitiervorschlag: § 33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