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FachV-Arch (Bayern) — Lehrfächer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Einführungslehrgang und der Abschlusslehrgang werden von der Generaldirektion der Staatlichen Archive Bayerns, Bayerische Archivschule, durchgeführt.</w:t>
      </w:r>
    </w:p>
    <w:p>
      <w:r>
        <w:t xml:space="preserve">(2) Die fachtheoretische Ausbildung erstreckt sich auf folgende Lehrfächer:</w:t>
      </w:r>
    </w:p>
    <w:p>
      <w:r>
        <w:t xml:space="preserve">1. Grundzüge der bayerischen Verfassungs- und Verwaltungsgeschichte seit 1799,</w:t>
      </w:r>
    </w:p>
    <w:p>
      <w:r>
        <w:t xml:space="preserve">2. Archivalienkunde der Neuzeit,</w:t>
      </w:r>
    </w:p>
    <w:p>
      <w:r>
        <w:t xml:space="preserve">3. Archivwissenschaft: Aussonderung, Erschließung, behördliche Schriftgutorganisation,</w:t>
      </w:r>
    </w:p>
    <w:p>
      <w:r>
        <w:t xml:space="preserve">4. Deutsche Schriftkunde seit 1800,</w:t>
      </w:r>
    </w:p>
    <w:p>
      <w:r>
        <w:t xml:space="preserve">5. Staatskunde,</w:t>
      </w:r>
    </w:p>
    <w:p>
      <w:r>
        <w:t xml:space="preserve">6. Öffentliches Dienstrecht,</w:t>
      </w:r>
    </w:p>
    <w:p>
      <w:r>
        <w:t xml:space="preserve">7. Wirtschafts- und Haushaltsführung des Freistaates Bayern und der bayerischen Kommunen,</w:t>
      </w:r>
    </w:p>
    <w:p>
      <w:r>
        <w:t xml:space="preserve">8. Kostenwesen der staatlichen und kommunalen Archive,</w:t>
      </w:r>
    </w:p>
    <w:p>
      <w:r>
        <w:t xml:space="preserve">9. Verwaltungspraxis,</w:t>
      </w:r>
    </w:p>
    <w:p>
      <w:r>
        <w:t xml:space="preserve">10. Archivtechnik,</w:t>
      </w:r>
    </w:p>
    <w:p>
      <w:r>
        <w:t xml:space="preserve">11. EDV und Archiv,</w:t>
      </w:r>
    </w:p>
    <w:p>
      <w:r>
        <w:t xml:space="preserve">12. archivische Rechtsfragen,</w:t>
      </w:r>
    </w:p>
    <w:p>
      <w:r>
        <w:t xml:space="preserve">13. nichtstaatliches Archivwesen.</w:t>
      </w:r>
    </w:p>
    <w:p>
      <w:r>
        <w:rPr>
          <w:color w:val="555555"/>
          <w:sz w:val="17"/>
        </w:rPr>
        <w:t xml:space="preserve">Zitiervorschlag: § 24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