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FachV-Arch (Bayern) — Ergebnis der schriftlichen Prüfung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Gesamtnote für die schriftliche Prüfung ist aus der Summe der für die einzelnen Prüfungsarbeiten gegebenen Noten, geteilt durch die Zahl der Prüfungsaufgaben, zu ermitteln. Hierbei zählen die Doppelaufgaben zweifach.</w:t>
      </w:r>
    </w:p>
    <w:p>
      <w:r>
        <w:t xml:space="preserve">(2) Wer in der schriftlichen Prüfung eine schlechtere Gesamtnote als „ausreichend“ erhalten hat, ist von der mündlichen Prüfung ausgeschlossen. Die Prüfung ist nicht bestanden.</w:t>
      </w:r>
    </w:p>
    <w:p>
      <w:r>
        <w:rPr>
          <w:color w:val="555555"/>
          <w:sz w:val="17"/>
        </w:rPr>
        <w:t xml:space="preserve">Zitiervorschlag: § 15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