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FachV-Arch (Bayern) — Fachlicher Schwerpunkt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Fachlaufbahn Bildung und Wissenschaft wird der fachliche Schwerpunkt Archivwesen gebildet.</w:t>
      </w:r>
    </w:p>
    <w:p>
      <w:r>
        <w:t xml:space="preserve">(2) Auf Prüfungen und Leistungsnachweise nach dieser Verordnung sind die Vorschriften der Allgemeinen Prüfungsordnung (APO) anzuwenden, soweit diese Verordnung nichts anderes bestimmt.</w:t>
      </w:r>
    </w:p>
    <w:p>
      <w:r>
        <w:rPr>
          <w:color w:val="555555"/>
          <w:sz w:val="17"/>
        </w:rPr>
        <w:t xml:space="preserve">Zitiervorschlag: § 1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