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FachHwirtPrV — Anrechnung anderer Prüfungsleistungen</w:t>
      </w:r>
    </w:p>
    <w:p>
      <w:r>
        <w:rPr>
          <w:color w:val="555555"/>
          <w:sz w:val="18"/>
        </w:rPr>
        <w:t xml:space="preserve">Verordnung über die Prüfung zum anerkannten Abschluß Geprüfte Fachhauswirtschafterin/Geprüfter Fachhauswirtschafter</w:t>
      </w:r>
    </w:p>
    <w:p>
      <w:r>
        <w:rPr>
          <w:color w:val="555555"/>
          <w:sz w:val="18"/>
        </w:rPr>
        <w:t xml:space="preserve">Stand: 10.06.2019 (konsolidierte Textfassung, kein amtliches Inkrafttretensdatum)</w:t>
      </w:r>
    </w:p>
    <w:p>
      <w:r>
        <w:t xml:space="preserve">Von der Prüfung in einzelnen Prüfungsbereichen der schriftlichen Prüfung gemäß § 3 kann der Prüfungsteilnehmer auf Antrag von der zuständigen Stelle freigestellt werden, wenn er vor einer zuständigen Stelle, einer öffentlichen oder staatlich anerkannten Bildungseinrichtung oder vor einem staatlichen Prüfungsausschuß eine Prüfung in den letzten fünf Jahren vor Antragstellung bestanden hat, deren Inhalt den Anforderungen nach den §§ 3 und 8 Abs. 2 entspricht. Eine Befreiung von der situationsbezogenen praktischen Fachaufgabe und dem Fachgespräch ist nicht zulässig.</w:t>
      </w:r>
    </w:p>
    <w:p>
      <w:r>
        <w:rPr>
          <w:color w:val="555555"/>
          <w:sz w:val="17"/>
        </w:rPr>
        <w:t xml:space="preserve">Zitiervorschlag: § 9 FachHwirtPrV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https://recht.nulegal.eu/gesetze/FachHwirtPrV/9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FachHwirtPrV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