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FachHwirtPrV — Bereich Berufliche und rechtliche Rahmenbedingungen</w:t>
      </w:r>
    </w:p>
    <w:p>
      <w:r>
        <w:rPr>
          <w:color w:val="555555"/>
          <w:sz w:val="18"/>
        </w:rPr>
        <w:t xml:space="preserve">Verordnung über die Prüfung zum anerkannten Abschluß Geprüfte Fachhauswirtschafterin/Geprüfter Fachhauswirtschafter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Bereich "Berufliche und rechtliche Rahmenbedingungen" soll der Prüfungsteilnehmer nachweisen, daß er Anforderungen und Aufgaben der Fachhauswirtschafterin/des Fachhauswirtschafters sowie die Grenzen seines beruflichen Handelns kennt. Er soll die Einsatzbereiche, Arbeitsvertrags- und Beschäftigungsmöglichkeiten der Fachhauswirtschafterin/des Fachhauswirtschafters kennen. Der Prüfungsteilnehmer soll Kenntnisse über einschlägige Rechtsgrundlagen, die für seinen beruflichen Verantwortungsbereich wesentlich sind, nachweisen. In diesem Rahmen können geprüft werden:</w:t>
      </w:r>
    </w:p>
    <w:p>
      <w:pPr>
        <w:ind w:left="420"/>
      </w:pPr>
      <w:r>
        <w:t xml:space="preserve">1. Funktionsbild der Fachhauswirtschafterin/des Fachhauswirtschafters, insbesondere Aufgaben, Anforderungen und Weiterbildungsmöglichkeiten;</w:t>
      </w:r>
    </w:p>
    <w:p>
      <w:pPr>
        <w:ind w:left="420"/>
      </w:pPr>
      <w:r>
        <w:t xml:space="preserve">2. Versorgungs- und Dienstleistungsangebote, Kooperationsmöglichkeiten und -formen und Möglichkeiten ihrer Erschließung;</w:t>
      </w:r>
    </w:p>
    <w:p>
      <w:pPr>
        <w:ind w:left="420"/>
      </w:pPr>
      <w:r>
        <w:t xml:space="preserve">3. Abgrenzen zu anderen in der ambulanten, teilstationären und stationären Versorgung tätigen Berufsgruppen;</w:t>
      </w:r>
    </w:p>
    <w:p>
      <w:pPr>
        <w:ind w:left="420"/>
      </w:pPr>
      <w:r>
        <w:t xml:space="preserve">4. Beschäftigungsverhältnisse, Anstellungsträger, Tarifparteien, Interessenvertretung, Berufsgenossenschaften;</w:t>
      </w:r>
    </w:p>
    <w:p>
      <w:pPr>
        <w:ind w:left="420"/>
      </w:pPr>
      <w:r>
        <w:t xml:space="preserve">5. tätigkeitsbezogene Bestimmungen des Arbeitsrechts, des Berufs- und Haftungsrechts, des Arbeitsschutz- und Umweltschutzrechts;</w:t>
      </w:r>
    </w:p>
    <w:p>
      <w:pPr>
        <w:ind w:left="420"/>
      </w:pPr>
      <w:r>
        <w:t xml:space="preserve">6. Grundkenntnisse über einschlägige Bestimmungen der Sozialgesetzgebung, des Familienrechts, des Erbrechts, des Strafrechts, des Datenschutzes sowie bestehende Möglichkeiten der Rechtsberatung.</w:t>
      </w:r>
    </w:p>
    <w:p>
      <w:r>
        <w:rPr>
          <w:color w:val="555555"/>
          <w:sz w:val="17"/>
        </w:rPr>
        <w:t xml:space="preserve">Zitiervorschlag: § 7 FachHwirtPrV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https://recht.nulegal.eu/gesetze/FachHwirtPrV/7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