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FachHwirtPrV — Inkrafttreten</w:t>
      </w:r>
    </w:p>
    <w:p>
      <w:r>
        <w:rPr>
          <w:color w:val="555555"/>
          <w:sz w:val="18"/>
        </w:rPr>
        <w:t xml:space="preserve">Verordnung über die Prüfung zum anerkannten Abschluß Geprüfte Fachhauswirtschafterin/Geprüfter Fachhauswirtschafter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Januar 1997 in Kraft.</w:t>
      </w:r>
    </w:p>
    <w:p>
      <w:r>
        <w:rPr>
          <w:color w:val="555555"/>
          <w:sz w:val="17"/>
        </w:rPr>
        <w:t xml:space="preserve">Zitiervorschlag: § 13 FachHwirtPrV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https://recht.nulegal.eu/gesetze/FachHwirtPrV/13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