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FachGer-AufbewahrungsV (Brandenburg)</w:t>
      </w:r>
    </w:p>
    <w:p>
      <w:r>
        <w:rPr>
          <w:color w:val="555555"/>
          <w:sz w:val="18"/>
        </w:rPr>
        <w:t xml:space="preserve">Verordnung über die Aufbewahrung von Schriftgut in den Fachgerichtsbarkeiten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Die Aufbewahrungsbestimmungen finden grundsätzlich auc h Anwendung, wenn</w:t>
      </w:r>
    </w:p>
    <w:p>
      <w:r>
        <w:t xml:space="preserve">Schriftgut zur Ersetzung der Urschrift als Wiedergabe auf einem Bildträger oder</w:t>
      </w:r>
    </w:p>
    <w:p>
      <w:r>
        <w:t xml:space="preserve">auf anderen Datenträgern aufbewahrt wird. Im Übrigen sind die insoweit</w:t>
      </w:r>
    </w:p>
    <w:p>
      <w:r>
        <w:t xml:space="preserve">getroffenen besonderen Bestimmungen zu beachten.</w:t>
      </w:r>
    </w:p>
    <w:p>
      <w:r>
        <w:t xml:space="preserve">(2) Gelten für</w:t>
      </w:r>
    </w:p>
    <w:p>
      <w:r>
        <w:t xml:space="preserve">Akten und Aktenteile (zum Beispiel Urteile, Beschlüsse) unterschiedliche</w:t>
      </w:r>
    </w:p>
    <w:p>
      <w:r>
        <w:t xml:space="preserve">Aufbewahrungsfristen, so richtet sich die Dauer der Aufbewahrung des Bild- oder</w:t>
      </w:r>
    </w:p>
    <w:p>
      <w:r>
        <w:t xml:space="preserve">Datenträgers, der an die Stelle der Urschriften tritt, nach der jeweils längsten</w:t>
      </w:r>
    </w:p>
    <w:p>
      <w:r>
        <w:t xml:space="preserve">Aufbewahrungsfrist.</w:t>
      </w:r>
    </w:p>
    <w:p>
      <w:r>
        <w:t xml:space="preserve">(3) Erscheint</w:t>
      </w:r>
    </w:p>
    <w:p>
      <w:r>
        <w:t xml:space="preserve">eine Aufbewahrungsfrist im Einzelfall aus besonderen Gründen zu kurz, so kann</w:t>
      </w:r>
    </w:p>
    <w:p>
      <w:r>
        <w:t xml:space="preserve">bei der Weglegung eine längere Aufbewahrungsfrist durch die Richterin oder den</w:t>
      </w:r>
    </w:p>
    <w:p>
      <w:r>
        <w:t xml:space="preserve">Richter oder die Beamtin oder den Beamten bestimmt werden. Dasselbe gilt, wenn</w:t>
      </w:r>
    </w:p>
    <w:p>
      <w:r>
        <w:t xml:space="preserve">Personen, die ein berechtigtes Interesse nachweisen, einen Antrag auf längere</w:t>
      </w:r>
    </w:p>
    <w:p>
      <w:r>
        <w:t xml:space="preserve">Aufbewahrung stellen.</w:t>
      </w:r>
    </w:p>
    <w:p>
      <w:r>
        <w:t xml:space="preserve">(4) Soweit in</w:t>
      </w:r>
    </w:p>
    <w:p>
      <w:r>
        <w:t xml:space="preserve">Spalte 4 der Anlage eine Aufbewahrungsfrist nicht angeordnet ist („keine“), ist</w:t>
      </w:r>
    </w:p>
    <w:p>
      <w:r>
        <w:t xml:space="preserve">das Schriftgut unmittelbar nach seiner Weglegung nach den dazu erlassenen</w:t>
      </w:r>
    </w:p>
    <w:p>
      <w:r>
        <w:t xml:space="preserve">besonderen Vorschriften auszusondern.</w:t>
      </w:r>
    </w:p>
    <w:p>
      <w:r>
        <w:rPr>
          <w:color w:val="555555"/>
          <w:sz w:val="17"/>
        </w:rPr>
        <w:t xml:space="preserve">Zitiervorschlag: § 2 FachGer-AufbewahrungsV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https://recht.nulegal.eu/gesetze/FachGer-AufbewahrungsV/2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