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FaNaG (Nordrhein-Westfalen)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Fahrrad- und Nahmobilitätsgesetz des Landes Nordrhein-Westfalen</w:t>
      </w:r>
    </w:p>
    <w:p>
      <w:r>
        <w:t xml:space="preserve">(Fahrrad- und Nahmobilitätsgesetz - FaNaG)</w:t>
      </w:r>
    </w:p>
    <w:p>
      <w:r>
        <w:t xml:space="preserve">Vom 9. November 2021</w:t>
      </w:r>
    </w:p>
    <w:p>
      <w:r>
        <w:t xml:space="preserve">(Artikel 1 des Gesetzes vom 9. November 2021 (GV. NRW. S. 1201))</w:t>
      </w:r>
    </w:p>
    <w:p>
      <w:r>
        <w:t xml:space="preserve">Inhaltsübersicht</w:t>
      </w:r>
    </w:p>
    <w:p>
      <w:r>
        <w:t xml:space="preserve">Präambel</w:t>
      </w:r>
    </w:p>
    <w:p>
      <w:r>
        <w:t xml:space="preserve">Abschnitt 1</w:t>
      </w:r>
    </w:p>
    <w:p>
      <w:r>
        <w:t xml:space="preserve">Allgemeines</w:t>
      </w:r>
    </w:p>
    <w:p>
      <w:r>
        <w:t xml:space="preserve">§ 1 Geltungsbereich und Begriffsbestimmung</w:t>
      </w:r>
    </w:p>
    <w:p>
      <w:r>
        <w:t xml:space="preserve">§ 2 Aktionsplan Fahrrad und Nahmobilität</w:t>
      </w:r>
    </w:p>
    <w:p>
      <w:r>
        <w:t xml:space="preserve">§ 3 Förderprogramm Nahmobilität</w:t>
      </w:r>
    </w:p>
    <w:p>
      <w:r>
        <w:t xml:space="preserve">§ 4 Öffentlichkeitsarbeit</w:t>
      </w:r>
    </w:p>
    <w:p>
      <w:r>
        <w:t xml:space="preserve">§ 5 Förderung fußgänger- und fahrradfreundlicher Organisationen</w:t>
      </w:r>
    </w:p>
    <w:p>
      <w:r>
        <w:t xml:space="preserve">§ 6 Fortbildungsprogramm</w:t>
      </w:r>
    </w:p>
    <w:p>
      <w:r>
        <w:t xml:space="preserve">Abschnitt 2</w:t>
      </w:r>
    </w:p>
    <w:p>
      <w:r>
        <w:t xml:space="preserve">Verkehrssicherheit</w:t>
      </w:r>
    </w:p>
    <w:p>
      <w:r>
        <w:t xml:space="preserve">§ 7 Verkehrssicherheitsprogramm</w:t>
      </w:r>
    </w:p>
    <w:p>
      <w:r>
        <w:t xml:space="preserve">§ 8 Präventive Verkehrssicherheit - Förderung</w:t>
      </w:r>
    </w:p>
    <w:p>
      <w:r>
        <w:t xml:space="preserve">§ 9 Sicherheitsaudits</w:t>
      </w:r>
    </w:p>
    <w:p>
      <w:r>
        <w:t xml:space="preserve">§ 10 Schulische Verkehrserziehung und Mobilitätsbildung</w:t>
      </w:r>
    </w:p>
    <w:p>
      <w:r>
        <w:t xml:space="preserve">§ 11 Abbiegeassistenzsysteme</w:t>
      </w:r>
    </w:p>
    <w:p>
      <w:r>
        <w:t xml:space="preserve">Abschnitt 3</w:t>
      </w:r>
    </w:p>
    <w:p>
      <w:r>
        <w:t xml:space="preserve">Fußverkehr</w:t>
      </w:r>
    </w:p>
    <w:p>
      <w:r>
        <w:t xml:space="preserve">§ 12 Grundsätze</w:t>
      </w:r>
    </w:p>
    <w:p>
      <w:r>
        <w:t xml:space="preserve">§ 13 Planung, Bau und Betrieb von Fußverkehrsanlagen</w:t>
      </w:r>
    </w:p>
    <w:p>
      <w:r>
        <w:t xml:space="preserve">§ 14 Fußverkehrsnetze</w:t>
      </w:r>
    </w:p>
    <w:p>
      <w:r>
        <w:t xml:space="preserve">§ 15 Anbindung von Bushaltestellen</w:t>
      </w:r>
    </w:p>
    <w:p>
      <w:r>
        <w:t xml:space="preserve">Abschnitt 4</w:t>
      </w:r>
    </w:p>
    <w:p>
      <w:r>
        <w:t xml:space="preserve">Radverkehr</w:t>
      </w:r>
    </w:p>
    <w:p>
      <w:r>
        <w:t xml:space="preserve">§ 16 Grundsätze</w:t>
      </w:r>
    </w:p>
    <w:p>
      <w:r>
        <w:t xml:space="preserve">§ 17 Festlegung Radvorrangnetz</w:t>
      </w:r>
    </w:p>
    <w:p>
      <w:r>
        <w:t xml:space="preserve">§ 18 Radschnellverbindungen des Landes</w:t>
      </w:r>
    </w:p>
    <w:p>
      <w:r>
        <w:t xml:space="preserve">§ 19 Bedarfsplan für Radschnellverbindungen des Landes</w:t>
      </w:r>
    </w:p>
    <w:p>
      <w:r>
        <w:t xml:space="preserve">§ 20 Lokale und überörtliche Radverkehrsnetze</w:t>
      </w:r>
    </w:p>
    <w:p>
      <w:r>
        <w:t xml:space="preserve">§ 21 Zustandserfassung von Radverkehrsnetzen</w:t>
      </w:r>
    </w:p>
    <w:p>
      <w:r>
        <w:t xml:space="preserve">§ 22 Nutzung von Wirtschaftswegen</w:t>
      </w:r>
    </w:p>
    <w:p>
      <w:r>
        <w:t xml:space="preserve">§ 23 Digitale Netzaufbereitung</w:t>
      </w:r>
    </w:p>
    <w:p>
      <w:r>
        <w:t xml:space="preserve">§ 24 Sichere Radverkehrs- und Fußverkehrsführung bei Baumaßnahmen</w:t>
      </w:r>
    </w:p>
    <w:p>
      <w:r>
        <w:t xml:space="preserve">§ 25 Einheitliche wegweisende Beschilderung von Radwegen</w:t>
      </w:r>
    </w:p>
    <w:p>
      <w:r>
        <w:t xml:space="preserve">§ 26 Bau und Förderung von Radabstellanlagen, Mobilstationen und Fahrradstationen</w:t>
      </w:r>
    </w:p>
    <w:p>
      <w:r>
        <w:t xml:space="preserve">§ 27 Fahrradfreundlicher Arbeitgeber Land</w:t>
      </w:r>
    </w:p>
    <w:p>
      <w:r>
        <w:t xml:space="preserve">§ 28 Rad- und Elektrokleinstfahrzeuge-Sharing</w:t>
      </w:r>
    </w:p>
    <w:p>
      <w:r>
        <w:t xml:space="preserve">§ 29 Lasten- und Spezialfahrräder</w:t>
      </w:r>
    </w:p>
    <w:p>
      <w:r>
        <w:t xml:space="preserve">Abschnitt 5</w:t>
      </w:r>
    </w:p>
    <w:p>
      <w:r>
        <w:t xml:space="preserve">Andere Formen der Nahmobilität</w:t>
      </w:r>
    </w:p>
    <w:p>
      <w:r>
        <w:t xml:space="preserve">§ 30 Elektrokleinstfahrzeuge</w:t>
      </w:r>
    </w:p>
    <w:p>
      <w:r>
        <w:t xml:space="preserve">Abschnitt 6</w:t>
      </w:r>
    </w:p>
    <w:p>
      <w:r>
        <w:t xml:space="preserve">Mobilitätsmanagement</w:t>
      </w:r>
    </w:p>
    <w:p>
      <w:r>
        <w:t xml:space="preserve">§ 31 Vernetzte Mobilität und Mobilitätsdaten</w:t>
      </w:r>
    </w:p>
    <w:p>
      <w:r>
        <w:t xml:space="preserve">§ 32 Förderung der vernetzten Mobilität und des Mobilitätsmanagements</w:t>
      </w:r>
    </w:p>
    <w:p>
      <w:r>
        <w:t xml:space="preserve">Abschnitt 7</w:t>
      </w:r>
    </w:p>
    <w:p>
      <w:r>
        <w:t xml:space="preserve">Schlussbestimmungen</w:t>
      </w:r>
    </w:p>
    <w:p>
      <w:r>
        <w:t xml:space="preserve">§ 33 Evaluation</w:t>
      </w:r>
    </w:p>
    <w:p>
      <w:r>
        <w:t xml:space="preserve">§ 34 Inkrafttreten</w:t>
      </w:r>
    </w:p>
    <w:p>
      <w:r>
        <w:rPr>
          <w:color w:val="555555"/>
          <w:sz w:val="17"/>
        </w:rPr>
        <w:t xml:space="preserve">Zitiervorschlag: Volltext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