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FaNaG (Nordrhein-Westfalen) — Sicherheitsaudits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Sicherheitsaudits im Sinne dieses Gesetzes bezeichnen die unabhängige Prüfung aller sicherheitsrelevanten Planungsunterlagen in jeder Planungsphase nach den allgemein anerkannten Regeln der Technik, um Sicherheitsdefizite in der Planungsphase zu identifizieren.</w:t>
      </w:r>
    </w:p>
    <w:p>
      <w:r>
        <w:t xml:space="preserve">(2) Bei größeren Neu- oder Ausbaumaßnahmen an Straßen in der Baulast des Landes sollen grundsätzlich Sicherheitsaudits durchgeführt werden.</w:t>
      </w:r>
    </w:p>
    <w:p>
      <w:r>
        <w:t xml:space="preserve">(3) Hinsichtlich der Straßen und Radwege im klassifizierten Netz sind Sicherheitsaudits bei Bedarf Voraussetzung einer Förderung.</w:t>
      </w:r>
    </w:p>
    <w:p>
      <w:r>
        <w:rPr>
          <w:color w:val="555555"/>
          <w:sz w:val="17"/>
        </w:rPr>
        <w:t xml:space="preserve">Zitiervorschlag: § 9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