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FaNaG (Nordrhein-Westfalen) — Verkehrssicherheitsprogramm</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Verkehr zuständige Ministerium stellt zur Verfolgung des Zieles, dass niemand im Straßenverkehr getötet oder mit lebenslangen Schäden schwer verletzt wird („Vision Zero“), ein Verkehrssicherheitsprogramm auf. Im Verkehrssicherheitsprogramm sind auf Grundlage einer Analyse von Unfallursachen und Risikogruppen die weitergehenden Qualitätsziele und entsprechende Handlungsschwerpunkte zu benennen und Werkzeuge und Handlungshinweise zur Verfügung zu stellen.</w:t>
      </w:r>
    </w:p>
    <w:p>
      <w:r>
        <w:t xml:space="preserve">(2) Das Verkehrssicherheitsprogramm wird alle fünf Jahre von dem für Verkehr zuständigen Ministerium in Abstimmung mit dem für Inneres zuständigen Ministerium und den darüber hinaus betroffenen Ministerien evaluiert.</w:t>
      </w:r>
    </w:p>
    <w:p>
      <w:r>
        <w:rPr>
          <w:color w:val="555555"/>
          <w:sz w:val="17"/>
        </w:rPr>
        <w:t xml:space="preserve">Zitiervorschlag: § 7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