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FaNaG (Nordrhein-Westfalen) — Fortbildungsprogramm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Themen Radverkehrsförderung und Sicherheit des Radverkehrs sind Teil von Aus- und Fortbildungsprogrammen in Verwaltungen mit Bezug zu Verkehrs- und Mobilitätsthemen. Die Inhalte basieren auf grundsätzlichen Abstimmungen mit dem für Verkehr zuständigen Ministerium.</w:t>
      </w:r>
    </w:p>
    <w:p>
      <w:r>
        <w:t xml:space="preserve">Abschnitt 2</w:t>
      </w:r>
    </w:p>
    <w:p>
      <w:r>
        <w:t xml:space="preserve">Verkehrssicherheit</w:t>
      </w:r>
    </w:p>
    <w:p>
      <w:r>
        <w:rPr>
          <w:color w:val="555555"/>
          <w:sz w:val="17"/>
        </w:rPr>
        <w:t xml:space="preserve">Zitiervorschlag: § 6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