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FaNaG (Nordrhein-Westfalen) — Vernetzte Mobilität und Mobilitätsdaten</w:t>
      </w:r>
    </w:p>
    <w:p>
      <w:r>
        <w:rPr>
          <w:color w:val="555555"/>
          <w:sz w:val="18"/>
        </w:rPr>
        <w:t xml:space="preserve">Fahrrad- und Nahmobilitätsgesetz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Um ein ganzheitliches, effizientes Mobilitätsangebot sowohl physisch als auch digital zu schaffen, fördert das für Verkehr zuständige Ministerium die Errichtung von Mobilstationen als Verknüpfungspunkte verschiedener Verkehrsarten in den Gemeinden. Es koordiniert die an der informationstechnischen Verknüpfung der Verkehrsarten beteiligten Akteure, um einen gebündelten Landesmobilitätsdatenzugang auf verbreiteten Standards für statische und dynamische Mobilitätsdaten zu ermöglichen. Das für Verkehr zuständige Ministerium legt für die verschiedenen Mobilitätsdatenteilbereiche relevante Landesstandards und führende Landesmobilitätsdatensysteme fest, die insbesondere bei Förderungen durch das Land zu beachten sind. Die Mobilitätsdaten werden nur in anonymisierter Form erhoben.</w:t>
      </w:r>
    </w:p>
    <w:p>
      <w:r>
        <w:rPr>
          <w:color w:val="555555"/>
          <w:sz w:val="17"/>
        </w:rPr>
        <w:t xml:space="preserve">Zitiervorschlag: § 31 FaNaG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https://recht.nulegal.eu/gesetze/FaNaG/31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