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FaNaG (Nordrhein-Westfalen) — Elektrokleinstfahrzeuge</w:t>
      </w:r>
    </w:p>
    <w:p>
      <w:r>
        <w:rPr>
          <w:color w:val="555555"/>
          <w:sz w:val="18"/>
        </w:rPr>
        <w:t xml:space="preserve">Fahrrad- und Nahmobilitätsgesetz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das Abstellen von Elektrokleinstfahrzeugen im Sinne der Elektrokleinstfahrzeuge-Verordnung sollen im öffentlichen Raum bei Bedarf gesonderte Bereiche jenseits von Gehwegen und Radverkehrsanlagen ausgewiesen werden.</w:t>
      </w:r>
    </w:p>
    <w:p>
      <w:r>
        <w:t xml:space="preserve">(2) Elektrokleinstfahrzeuge stellen einen Bestandteil des multimodalen Mobilitätsangebotes dar.</w:t>
      </w:r>
    </w:p>
    <w:p>
      <w:r>
        <w:t xml:space="preserve">(3) Die Nutzung von Elektrokleinstfahrzeugen soll nicht durch kommunale Satzungen so eingeschränkt werden, dass ihr Angebot dadurch verhindert wird.</w:t>
      </w:r>
    </w:p>
    <w:p>
      <w:r>
        <w:t xml:space="preserve">Abschnitt 6</w:t>
      </w:r>
    </w:p>
    <w:p>
      <w:r>
        <w:t xml:space="preserve">Mobilitätsmanagement</w:t>
      </w:r>
    </w:p>
    <w:p>
      <w:r>
        <w:rPr>
          <w:color w:val="555555"/>
          <w:sz w:val="17"/>
        </w:rPr>
        <w:t xml:space="preserve">Zitiervorschlag: § 30 FaNaG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https://recht.nulegal.eu/gesetze/FaNaG/30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