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FaNaG (Nordrhein-Westfalen) — Lasten- und Spezialfahrräder</w:t>
      </w:r>
    </w:p>
    <w:p>
      <w:r>
        <w:rPr>
          <w:color w:val="555555"/>
          <w:sz w:val="18"/>
        </w:rPr>
        <w:t xml:space="preserve">Fahrrad- und Nahmobilitätsgesetz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Träger der Straßenbaulast berücksichtigen bei dem Bau, Ausbau und der Sanierung von Radwegen, Mobilstationen, Fahrradstationen und Radabstellanlagen die Belange des Einsatzes von Lastenfahrrädern zum Transport von Personen und Gütern. Dazu gehört auch die Schaffung geeigneter Radabstellanlagen. Lastenräder im Sinne dieses Gesetzes sind einsitzige Fahrräder gemäß § 63a der Straßenverkehrs-Zulassungs-Ordnung vom 26. April 2012 (BGBl. I S. 679) in der jeweils geltenden Fassung, die speziell für den Transport von Personen und Gütern konstruiert sind.</w:t>
      </w:r>
    </w:p>
    <w:p>
      <w:r>
        <w:t xml:space="preserve">(2) Ergänzend unterstützt das Land Nordrhein-Westfalen den Wandel initial nach Maßgabe einer Förderrichtlinie zur Anschaffung von Lastenrädern für den gemeinnützigen und gewerblichen Einsatz.</w:t>
      </w:r>
    </w:p>
    <w:p>
      <w:r>
        <w:t xml:space="preserve">(3) Absatz 1 Satz 1 und 2 gilt sinngemäß auch für die Belange von Spezialfahrrädern, die von Menschen mit Behinderung und Menschen mit eingeschränkter Mobilität genutzt werden.</w:t>
      </w:r>
    </w:p>
    <w:p>
      <w:r>
        <w:t xml:space="preserve">Abschnitt 5</w:t>
      </w:r>
    </w:p>
    <w:p>
      <w:r>
        <w:t xml:space="preserve">Andere Formen der Nahmobilität</w:t>
      </w:r>
    </w:p>
    <w:p>
      <w:r>
        <w:rPr>
          <w:color w:val="555555"/>
          <w:sz w:val="17"/>
        </w:rPr>
        <w:t xml:space="preserve">Zitiervorschlag: § 29 FaNaG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https://recht.nulegal.eu/gesetze/FaNaG/29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