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FaNaG (Nordrhein-Westfalen) — Digitale Netzaufbereitung</w:t>
      </w:r>
    </w:p>
    <w:p>
      <w:r>
        <w:rPr>
          <w:color w:val="555555"/>
          <w:sz w:val="18"/>
        </w:rPr>
        <w:t xml:space="preserve">Fahrrad- und Nahmobilitätsgesetz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fachlich zuständigen Landesministerien bündeln Informationen zur Radroutenerstellung und stellen sie weitestgehend barrierefrei und digital zur Verfügung.</w:t>
      </w:r>
    </w:p>
    <w:p>
      <w:r>
        <w:rPr>
          <w:color w:val="555555"/>
          <w:sz w:val="17"/>
        </w:rPr>
        <w:t xml:space="preserve">Zitiervorschlag: § 23 FaNaG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https://recht.nulegal.eu/gesetze/FaNaG/23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