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FaNaG (Nordrhein-Westfalen) — Zustandserfassung von Radverkehrsnetzen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Straßenbaulast erfassen regelmäßig den Zustand der Radverkehrsnetze. Das Land Nordrhein-Westfalen unterstützt die Gemeinden und Gemeindeverbände bei der Zustandserfassung finanziell.</w:t>
      </w:r>
    </w:p>
    <w:p>
      <w:r>
        <w:t xml:space="preserve">(2) Das für Verkehr zuständige Ministerium stellt digitale Instrumente zur Verfügung, über welche Mängel an der Radverkehrsinfrastruktur mitgeteilt werden können.</w:t>
      </w:r>
    </w:p>
    <w:p>
      <w:r>
        <w:rPr>
          <w:color w:val="555555"/>
          <w:sz w:val="17"/>
        </w:rPr>
        <w:t xml:space="preserve">Zitiervorschlag: § 21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