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FaNaG (Nordrhein-Westfalen) — Bedarfsplan für Radschnellverbindungen des Landes</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Verkehr zuständige Ministerium erstellt einen Bedarfsplan für den Bau neuer und die wesentliche Änderung bestehender Radschnellverbindungen des Landes Nordrhein-Westfalen, im Folgenden Bedarfsplan für Radschnellverbindungen genannt, im Einvernehmen mit dem für Verkehr zuständigen Ausschuss des Landtags.</w:t>
      </w:r>
    </w:p>
    <w:p>
      <w:r>
        <w:t xml:space="preserve">(2) Der Bedarfsplan für Radschnellverbindungen umfasst die langfristigen Planungen für Radschnellverbindungen.</w:t>
      </w:r>
    </w:p>
    <w:p>
      <w:r>
        <w:t xml:space="preserve">(3) Der Bedarfsplan für Radschnellverbindungen wird unter Beachtung der Grundsätze und Ziele der Raumordnung und Landesplanung, der Belange des Umwelt-</w:t>
      </w:r>
    </w:p>
    <w:p>
      <w:r>
        <w:t xml:space="preserve">schutzes, des Städtebaus sowie der Ergebnisse integrierter Verkehrsplanung aufgestellt und fortgeschrieben.</w:t>
      </w:r>
    </w:p>
    <w:p>
      <w:r>
        <w:t xml:space="preserve">(4) Der Bedarfsplan für Radschnellverbindungen soll erstmalig innerhalb von zwei Jahren nach Inkrafttreten dieses Gesetzes erstellt und nach einer Evaluation im Einvernehmen mit dem für Verkehr zuständigen Ausschuss des Landtags fortgeschrieben werden.</w:t>
      </w:r>
    </w:p>
    <w:p>
      <w:r>
        <w:rPr>
          <w:color w:val="555555"/>
          <w:sz w:val="17"/>
        </w:rPr>
        <w:t xml:space="preserve">Zitiervorschlag: § 19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