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FaNaG (Nordrhein-Westfalen) — Radschnellverbindungen des Landes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Radschnellverbindungen sind die in § 3 Absatz 2 Satz 2 des Straßen- und Wegegesetzes des Landes Nordrhein-Westfalen definierten Wege, Straßen oder Teile von diesen.</w:t>
      </w:r>
    </w:p>
    <w:p>
      <w:r>
        <w:t xml:space="preserve">(2) Für die Gestaltung der Radverkehrsanlagen für Radschnellverbindungen des Landes erstellt das für Verkehr zuständige Ministerium einen Leitfaden oder erlässt Verwaltungsvorschriften.</w:t>
      </w:r>
    </w:p>
    <w:p>
      <w:r>
        <w:rPr>
          <w:color w:val="555555"/>
          <w:sz w:val="17"/>
        </w:rPr>
        <w:t xml:space="preserve">Zitiervorschlag: § 18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