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FaNaG (Nordrhein-Westfalen) — Festlegung Radvorrangnetz</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Verkehr zuständige Ministerium definiert das landesweite Radvorrangnetz, welches für den Radverkehr besonders wichtige, überörtliche Verbindungen umfasst.</w:t>
      </w:r>
    </w:p>
    <w:p>
      <w:r>
        <w:t xml:space="preserve">(2) Das Radvorrangnetz ist erstmalig innerhalb von drei Jahren nach Inkrafttreten dieses Gesetzes zu definieren und bei Bedarf fortzuschreiben. Das Radvorrangnetz soll auch in Form einer Karte dargestellt werden. Hier identifizierte Aus- und Neubaumaßnahmen bezüglich Radschnellverbindungen werden in den Bedarfsplan aufgenommen.</w:t>
      </w:r>
    </w:p>
    <w:p>
      <w:r>
        <w:t xml:space="preserve">(3) Bereits bestehende oder in Erarbeitung befindliche überörtliche Radverkehrsnetze können in Teilen in das zukünftig landesweite, übergeordnete Radvorrangnetz integriert werden und sind dafür gegebenenfalls anzupassen.</w:t>
      </w:r>
    </w:p>
    <w:p>
      <w:r>
        <w:t xml:space="preserve">(4) Die Finanzierung beziehungsweise die Förderung einzelner Vorhaben im Bereich des Radverkehrs durch das für Verkehr zuständige Ministerium orientiert sich vorrangig an der Einbindung in das landesweite Radvorrangnetz.</w:t>
      </w:r>
    </w:p>
    <w:p>
      <w:r>
        <w:rPr>
          <w:color w:val="555555"/>
          <w:sz w:val="17"/>
        </w:rPr>
        <w:t xml:space="preserve">Zitiervorschlag: § 17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