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FaNaG (Nordrhein-Westfalen) — Anbindung von Bushaltestellen</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An Bushaltestellen des öffentlichen Personennahverkehrs an außerörtlichen Hauptverkehrsstraßen muss eine Fußverkehrsanlage für den wartenden Fußverkehr im Seitenraum vorhanden sein, wenn dies aus Gründen der Verkehrssicherheit erforderlich ist. Die Bushaltestellen müssen über eine sichere und möglichst barrierefreie Fußverkehrsanlage an das Fußverkehrsnetz angebunden sein, wenn dies aus Gründen der Verkehrssicherheit erforderlich ist.</w:t>
      </w:r>
    </w:p>
    <w:p>
      <w:r>
        <w:t xml:space="preserve">Abschnitt 4</w:t>
      </w:r>
    </w:p>
    <w:p>
      <w:r>
        <w:t xml:space="preserve">Radverkehr</w:t>
      </w:r>
    </w:p>
    <w:p>
      <w:r>
        <w:rPr>
          <w:color w:val="555555"/>
          <w:sz w:val="17"/>
        </w:rPr>
        <w:t xml:space="preserve">Zitiervorschlag: § 15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