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FaNaG (Nordrhein-Westfalen) — Fußverkehrsnetze</w:t>
      </w:r>
    </w:p>
    <w:p>
      <w:r>
        <w:rPr>
          <w:color w:val="555555"/>
          <w:sz w:val="18"/>
        </w:rPr>
        <w:t xml:space="preserve">Fahrrad- und Nahmobilitätsgesetz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Träger der Straßenbaulast sollen innerhalb der Ortslagen durchgängige Fußverkehrsnetze schaffen, die den Fußverkehr grundsätzlich direkt, sicher, komfortabel und möglichst weitgehend barrierefrei führen. Im Rahmen bestehender oder künftig zu entwickelnder Mobilitätskonzepte soll dem Fußverkehr eine größere Bedeutung eingeräumt werden. Abweichungen von diesem Grundsatz sind gesondert zu begründen.</w:t>
      </w:r>
    </w:p>
    <w:p>
      <w:r>
        <w:t xml:space="preserve">(2) Haupterschließungsachsen des Fußverkehrs sollen unter Berücksichtigung der Klassifizierung der Straßen und Wege grundsätzlich priorisiert geführt werden.</w:t>
      </w:r>
    </w:p>
    <w:p>
      <w:r>
        <w:t xml:space="preserve">(3) Die Träger der Straßenbaulast sollen Verkehrssicherheit und Aufenthaltsqualität innerhalb der Fußverkehrsnetze gewährleisten. Zur Vorbereitung können insbesondere Fußgängerverkehrsschauen der örtlich zuständigen Straßenverkehrsbehörden, Straßenbaulastträger und der Polizei, gegebenenfalls mit Beteiligung fachkundiger Personen und Personengruppen,</w:t>
      </w:r>
    </w:p>
    <w:p>
      <w:r>
        <w:t xml:space="preserve">oder Fußverkehrs-Checks durchgeführt werden. Das für Verkehr zuständige Ministerium stellt dazu Hilfestellungen und Fortbildungsangebote bereit.</w:t>
      </w:r>
    </w:p>
    <w:p>
      <w:r>
        <w:t xml:space="preserve">(4) Auch für Querungen gilt § 9 Absatz 2 des Straßen- und Wegegesetzes des Landes Nordrhein-Westfalen. Sie müssen grundsätzlich für den Fußverkehr nach den allgemein anerkannten Regeln der Technik sicher, barrierefrei und so gestaltet sein, dass der Fußverkehr in einer angemessenen Zeit die andere Straßenseite erreicht. Fußgängerüberwege stellen neben Fußgängerlichtsignalanlagen eine besonders geeignete Form der Sicherung dar und dienen der Barrierefreiheit.</w:t>
      </w:r>
    </w:p>
    <w:p>
      <w:r>
        <w:t xml:space="preserve">(5) Innerhalb der Fußverkehrsnetze soll der Weg zu wichtigen Alltags- und Freizeitzielen für den Fußverkehr grundsätzlich unter Zeit- oder Entfernungsangaben durch den jeweiligen Träger der Straßenbaulast beschildert werden. Diese Beschilderung wird von dem für Verkehr zuständigen Ministerium gefördert.</w:t>
      </w:r>
    </w:p>
    <w:p>
      <w:r>
        <w:rPr>
          <w:color w:val="555555"/>
          <w:sz w:val="17"/>
        </w:rPr>
        <w:t xml:space="preserve">Zitiervorschlag: § 14 FaNaG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https://recht.nulegal.eu/gesetze/FaNaG/14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