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FaNaG (Nordrhein-Westfalen) — Planung, Bau und Betrieb von Fußverkehrsanlagen</w:t>
      </w:r>
    </w:p>
    <w:p>
      <w:r>
        <w:rPr>
          <w:color w:val="555555"/>
          <w:sz w:val="18"/>
        </w:rPr>
        <w:t xml:space="preserve">Fahrrad- und Nahmobilitätsgesetz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den Bau, Umbau und die Unterhaltung von Gehwegen gilt § 9 Absatz 2 Satz 2 des Straßen- und Wegegesetzes des Landes Nordrhein-Westfalen in der Fassung der Bekanntmachung vom 23. September 1995 (GV. NRW. S. 1028, ber. 1996, S. 81, S. 141, S. 216,</w:t>
      </w:r>
    </w:p>
    <w:p>
      <w:r>
        <w:t xml:space="preserve">S. 335, ber. 2007, S. 327) in der jeweils geltenden Fassung, nach dem darauf zu achten ist, dass im Sinne der allgemeinen Mobilitätsteilhabe eine möglichst weitgehende Barrierefreiheit erreicht wird.</w:t>
      </w:r>
    </w:p>
    <w:p>
      <w:r>
        <w:t xml:space="preserve">(2) Die Straßenverkehrsbehörden sollen die Belange des Fußverkehrs bei der Schaltung von Lichtsignalanlagen gegenüber den Belangen des Kraftfahrzeug- und Radverkehrs gleichberechtigt berücksichtigen.</w:t>
      </w:r>
    </w:p>
    <w:p>
      <w:r>
        <w:t xml:space="preserve">(3) Bei dem Neu-, Aus- und Umbau von Straßen sollen Radverkehr und Fußverkehr innerhalb der Ortslagen grundsätzlich getrennt geführt werden. Eine Mitbenutzung von Gehwegen durch den Radverkehr soll aus Verkehrssicherheitsgründen nur nachrangig gegenüber anderen Führungsformen für den Radverkehr vorgesehen werden.</w:t>
      </w:r>
    </w:p>
    <w:p>
      <w:r>
        <w:rPr>
          <w:color w:val="555555"/>
          <w:sz w:val="17"/>
        </w:rPr>
        <w:t xml:space="preserve">Zitiervorschlag: § 13 FaNaG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https://recht.nulegal.eu/gesetze/FaNaG/13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