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FaNaG (Nordrhein-Westfalen) — Grundsätze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Träger der Straßenbaulast wahren und stärken die Funktion von Gehwegen als geschützten Raum, gerade auch für besonders schutzbedürftige Verkehrsteilnehmende bei Planungen und Maßnahmen mit Auswirkungen auf Gehwege.</w:t>
      </w:r>
    </w:p>
    <w:p>
      <w:r>
        <w:t xml:space="preserve">(2) Ausreichend breite und zusammenhängende Gehwege leisten einen maßgeblichen Beitrag zur Verbesserung der Mobilität und zur Erhöhung der Sicherheit und der Aufenthaltsqualität des Fußverkehrs. Bei dem Neu-, Aus- und Umbau von Straßen sollen Gehwege bei der Straßenraumaufteilung und Straßenraumgestaltung besonders berücksichtigt werden.</w:t>
      </w:r>
    </w:p>
    <w:p>
      <w:r>
        <w:t xml:space="preserve">(3) Zur Gewährleistung einer hohen Qualität und möglichst weitgehenden Barrierefreiheit und Sicherheit der Fußverkehrsinfrastruktur treiben die jeweiligen Träger der Straßenbaulast den Erhalt, die Sanierung und die Verbesserung der bestehenden Fußverkehrsinfrastruktur voran.</w:t>
      </w:r>
    </w:p>
    <w:p>
      <w:r>
        <w:rPr>
          <w:color w:val="555555"/>
          <w:sz w:val="17"/>
        </w:rPr>
        <w:t xml:space="preserve">Zitiervorschlag: § 12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