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FZulG — Kumulierung mit anderen Förderungen oder staatlichen Beihilfen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Forschungszulage kann vorbehaltlich des Absatzes 2 neben anderen Förderungen oder staatlichen Beihilfen für das begünstigte Forschungs- und Entwicklungsvorhaben gewährt werden.</w:t>
      </w:r>
    </w:p>
    <w:p>
      <w:r>
        <w:t xml:space="preserve">(2) Förderfähige Aufwendungen im Sinne des § 3 Absatz 1 bis 4 dürfen nicht in die Bemessungsgrundlage nach § 3 Absatz 5 einbezogen werden, soweit diese im Rahmen anderer Förderungen oder staatlicher Beihilfen gefördert wurden oder werden. Dieser Kumulierungsausschluss gilt auch, wenn die anderen Förderungen aus Unionsmitteln stammen.</w:t>
      </w:r>
    </w:p>
    <w:p>
      <w:r>
        <w:t xml:space="preserve">(3) In den Antrag nach § 5 sind die Angaben aufzunehmen, die für die Feststellung der Voraussetzungen nach Absatz 2 erforderlich sind.</w:t>
      </w:r>
    </w:p>
    <w:p>
      <w:r>
        <w:rPr>
          <w:color w:val="555555"/>
          <w:sz w:val="17"/>
        </w:rPr>
        <w:t xml:space="preserve">Zitiervorschlag: § 7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