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FZulG — Antrag auf Forschungszulage</w:t>
      </w:r>
    </w:p>
    <w:p>
      <w:r>
        <w:rPr>
          <w:color w:val="555555"/>
          <w:sz w:val="18"/>
        </w:rPr>
        <w:t xml:space="preserve">Forschungszulagengesetz</w:t>
      </w:r>
    </w:p>
    <w:p>
      <w:r>
        <w:rPr>
          <w:color w:val="555555"/>
          <w:sz w:val="18"/>
        </w:rPr>
        <w:t xml:space="preserve">Stand: 09.04.2024 (konsolidierte Textfassung, kein amtliches Inkrafttretensdatum)</w:t>
      </w:r>
    </w:p>
    <w:p>
      <w:r>
        <w:t xml:space="preserve">(1) Der Anspruchsberechtigte hat nach Ablauf des Wirtschaftsjahres, in dem die förderfähigen Aufwendungen im Sinne des § 3 Absatz 1 und 2 vom Arbeitnehmer bezogen worden sind oder die nach § 3 Absatz 3 bis 4 förderfähigen Aufwendungen entstanden sind, einen Antrag auf Forschungszulage nach amtlich vorgeschriebenem Datensatz über die amtlich bestimmte Schnittstelle bei dem für die Besteuerung des Anspruchsberechtigten nach dem Einkommen zuständigen Finanzamt zu stellen. Dies gilt auch in Fällen, in denen die Einkünfte nach § 180 Absatz 1 Satz 1 Nummer 2 Buchstabe b der Abgabenordnung gesondert festgestellt werden. Ist eine Mitunternehmerschaft Anspruchsberechtigter, so ist der Antrag bei dem Finanzamt zu stellen, das für die einheitliche und gesonderte Feststellung der Einkünfte zuständig ist.</w:t>
      </w:r>
    </w:p>
    <w:p>
      <w:r>
        <w:t xml:space="preserve">(2) In dem Antrag nach Absatz 1 sind die Forschungs- und Entwicklungsvorhaben, für die eine Forschungszulage beantragt wird, sowie die förderfähigen Aufwendungen im Sinne des § 3 Absatz 1 bis 4 so genau zu bezeichnen, dass eine Überprüfung möglich ist. Die Verteilung der für verbundene Unternehmen maximal förderfähigen Bemessungsgrundlage nach § 3 Absatz 5 ist von jedem verbundenen Unternehmen im Antrag nach Absatz 1 anzugeben.</w:t>
      </w:r>
    </w:p>
    <w:p>
      <w:r>
        <w:t xml:space="preserve">(3) Für den Antrag ist eine Bescheinigung nach § 6 für die im Antrag aufgeführten Forschungs- und Entwicklungsvorhaben erforderlich. Der Anspruchsberechtigte hat im Antrag zu versichern, dass sich die im Rahmen des Bescheinigungsverfahrens nach § 6 erklärten und der Bescheinigung zu Grunde gelegten Sachverhalte nicht verändert haben.</w:t>
      </w:r>
    </w:p>
    <w:p>
      <w:r>
        <w:t xml:space="preserve">(4) In den Fällen des Absatzes 1 Satz 2 stellt das für die gesonderte Feststellung der Einkünfte zuständige Finanzamt die für diesen Betrieb nach § 3 Absatz 1 bis 4 förderfähigen Aufwendungen gesondert fest.</w:t>
      </w:r>
    </w:p>
    <w:p>
      <w:r>
        <w:rPr>
          <w:color w:val="555555"/>
          <w:sz w:val="17"/>
        </w:rPr>
        <w:t xml:space="preserve">Zitiervorschlag: § 5 FZulG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https://recht.nulegal.eu/gesetze/FZulG/5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