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FZulG — Höhe der Forschungszulage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09.04.2024 (konsolidierte Textfassung, kein amtliches Inkrafttretensdatum)</w:t>
      </w:r>
    </w:p>
    <w:p>
      <w:r>
        <w:t xml:space="preserve">(1) Die Forschungszulage beträgt 25 Prozent der Bemessungsgrundlage nach § 3 Absatz 5. Anspruchsberechtigte, die als kleines und mittleres Unternehmen im Sinne der KMU-Definition des Anhang I der Allgemeinen Gruppenfreistellungsverordnung gelten, können zusätzlich eine Erhöhung der Forschungszulage um zehn Prozentpunkte beantragen.</w:t>
      </w:r>
    </w:p>
    <w:p>
      <w:r>
        <w:t xml:space="preserve">(2) Der Anspruch auf Forschungszulage entsteht mit Ablauf des Wirtschaftsjahres, in dem die förderfähigen Aufwendungen im Sinne des § 3 Absatz 1 und 2 vom Arbeitnehmer bezogen worden sind oder die nach § 3 Absatz 3 bis 4 förderfähigen Aufwendungen beim Anspruchsberechtigten entstanden sind.</w:t>
      </w:r>
    </w:p>
    <w:p>
      <w:r>
        <w:t xml:space="preserve">(3) Die Summe der für ein Forschungs- und Entwicklungsvorhaben gewährten staatlichen Beihilfen darf einschließlich der Forschungszulagen nach diesem Gesetz pro Unternehmen und Forschungs- und Entwicklungsvorhaben den Betrag von 15 000 000 Euro nicht überschreiten.</w:t>
      </w:r>
    </w:p>
    <w:p>
      <w:r>
        <w:rPr>
          <w:color w:val="555555"/>
          <w:sz w:val="17"/>
        </w:rPr>
        <w:t xml:space="preserve">Zitiervorschlag: § 4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