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FZulG — Anwendungsregelung</w:t>
      </w:r>
    </w:p>
    <w:p>
      <w:r>
        <w:rPr>
          <w:color w:val="555555"/>
          <w:sz w:val="18"/>
        </w:rPr>
        <w:t xml:space="preserve">Forschungszulagengesetz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Das Gesetz ist auf der Grundlage und im Rahmen der Vorgaben der AGVO anwendbar.</w:t>
      </w:r>
    </w:p>
    <w:p>
      <w:r>
        <w:t xml:space="preserve">(2) Das Gesetz ist im Fall eines Beschlusses der Europäischen Kommission gemäß Artikel 1 Absatz 2 Buchstabe a AGVO ununterbrochen bis zum Wegfall der Freistellungsvoraussetzungen der AGVO oder eines Rechtsaktes, der an die Stelle der AGVO tritt, anwendbar.</w:t>
      </w:r>
    </w:p>
    <w:p>
      <w:r>
        <w:t xml:space="preserve">(3) Das Bundesministerium der Finanzen hat</w:t>
      </w:r>
    </w:p>
    <w:p>
      <w:pPr>
        <w:ind w:left="420"/>
      </w:pPr>
      <w:r>
        <w:t xml:space="preserve">1. den Beschluss der Europäischen Kommission gemäß Artikel 1 Absatz 2 Buchstabe a AGVO sowie</w:t>
      </w:r>
    </w:p>
    <w:p>
      <w:pPr>
        <w:ind w:left="420"/>
      </w:pPr>
      <w:r>
        <w:t xml:space="preserve">2. den Tag des Wegfalls der Freistellungsvoraussetzungen</w:t>
      </w:r>
    </w:p>
    <w:p>
      <w:r>
        <w:t xml:space="preserve">im Bundesgesetzblatt bekannt zu machen.</w:t>
      </w:r>
    </w:p>
    <w:p>
      <w:r>
        <w:rPr>
          <w:color w:val="555555"/>
          <w:sz w:val="17"/>
        </w:rPr>
        <w:t xml:space="preserve">Zitiervorschlag: § 16 FZulG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https://recht.nulegal.eu/gesetze/FZulG/16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