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FZulG — Anwendung der Abgabenordnung</w:t>
      </w:r>
    </w:p>
    <w:p>
      <w:r>
        <w:rPr>
          <w:color w:val="555555"/>
          <w:sz w:val="18"/>
        </w:rPr>
        <w:t xml:space="preserve">Forschungszulagengesetz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für Steuervergütungen geltenden Vorschriften der Abgabenordnung sind mit Ausnahme des § 163 der Abgabenordnung entsprechend anzuwenden. In öffentlich-rechtlichen Streitigkeiten über die aufgrund dieses Gesetzes ergehenden Verwaltungsakte der Finanzbehörden ist der Finanzrechtsweg gegeben.</w:t>
      </w:r>
    </w:p>
    <w:p>
      <w:r>
        <w:rPr>
          <w:color w:val="555555"/>
          <w:sz w:val="17"/>
        </w:rPr>
        <w:t xml:space="preserve">Zitiervorschlag: § 12 FZulG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https://recht.nulegal.eu/gesetze/FZulG/12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