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FZulG — Verzinsung des Rückforderungsanspruchs</w:t>
      </w:r>
    </w:p>
    <w:p>
      <w:r>
        <w:rPr>
          <w:color w:val="555555"/>
          <w:sz w:val="18"/>
        </w:rPr>
        <w:t xml:space="preserve">Forschungszulagengesetz</w:t>
      </w:r>
    </w:p>
    <w:p>
      <w:r>
        <w:rPr>
          <w:color w:val="555555"/>
          <w:sz w:val="18"/>
        </w:rPr>
        <w:t xml:space="preserve">Stand: 10.01.2020 (konsolidierte Textfassung, kein amtliches Inkrafttretensdatum)</w:t>
      </w:r>
    </w:p>
    <w:p>
      <w:r>
        <w:t xml:space="preserve">Ist der Forschungszulagenbescheid nach § 10 aufgehoben oder zuungunsten des Anspruchsberechtigten geändert worden, ist der Rückzahlungsanspruch nach Maßgabe der §§ 238 und 239 der Abgabenordnung vom Tag der Anrechnung der Forschungszulage an zu verzinsen. Der Zinslauf endet mit Ablauf des Tages, an dem der geänderte Forschungszulagenbescheid wirksam geworden ist. Maßgebend für die Zinsberechnung ist die Differenz zwischen der neu festgesetzten Forschungszulage und der vorher festgesetzten Forschungszulage. Zinsschuldner ist, bei wem die Forschungszulage nach § 10 Absatz 1 und/oder Absatz 2 auf die Einkommen- oder Körperschaftsteuer angerechnet wurde. Die Festsetzungsfrist beginnt mit Ablauf des Kalenderjahres, in dem der Forschungszulagenbescheid aufgehoben oder geändert worden ist.</w:t>
      </w:r>
    </w:p>
    <w:p>
      <w:r>
        <w:rPr>
          <w:color w:val="555555"/>
          <w:sz w:val="17"/>
        </w:rPr>
        <w:t xml:space="preserve">Zitiervorschlag: § 11 FZulG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https://recht.nulegal.eu/gesetze/FZulG/11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