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FZulG — Anspruchsberechtigung</w:t>
      </w:r>
    </w:p>
    <w:p>
      <w:r>
        <w:rPr>
          <w:color w:val="555555"/>
          <w:sz w:val="18"/>
        </w:rPr>
        <w:t xml:space="preserve">Forschungszulagengesetz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Anspruchsberechtigt sind Steuerpflichtige im Sinne des Einkommensteuer- und des Körperschaftsteuergesetzes, soweit sie Einkünfte nach § 2 Absatz 1 Satz 1 Nummer 1 bis 3 des Einkommensteuergesetzes erzielen, nicht von der Besteuerung befreit sind und die in diesem Gesetz aufgeführten Voraussetzungen erfüllen.</w:t>
      </w:r>
    </w:p>
    <w:p>
      <w:r>
        <w:t xml:space="preserve">(2) Bei Mitunternehmerschaften nach § 15 Absatz 1 Satz 1 Nummer 2 des Einkommensteuergesetzes tritt an die Stelle des Steuerpflichtigen die Mitunternehmerschaft als Anspruchsberechtigter. Nach § 1a des Körperschaftsteuergesetzes optierende Gesellschaften sind als Steuerpflichtige im Sinne des Körperschaftsteuergesetzes anspruchsberechtigt.</w:t>
      </w:r>
    </w:p>
    <w:p>
      <w:r>
        <w:rPr>
          <w:color w:val="555555"/>
          <w:sz w:val="17"/>
        </w:rPr>
        <w:t xml:space="preserve">Zitiervorschlag: § 1 FZulG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https://recht.nulegal.eu/gesetze/FZulG/1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