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FZulBV — Inkrafttreten</w:t>
      </w:r>
    </w:p>
    <w:p>
      <w:r>
        <w:rPr>
          <w:color w:val="555555"/>
          <w:sz w:val="18"/>
        </w:rPr>
        <w:t xml:space="preserve">Forschungszulagen-Bescheinigungsverordnung</w:t>
      </w:r>
    </w:p>
    <w:p>
      <w:r>
        <w:rPr>
          <w:color w:val="555555"/>
          <w:sz w:val="18"/>
        </w:rPr>
        <w:t xml:space="preserve">Stand: 23.06.2022 (konsolidierte Textfassung, kein amtliches Inkrafttretensdatum)</w:t>
      </w:r>
    </w:p>
    <w:p>
      <w:r>
        <w:t xml:space="preserve">Diese Verordnung tritt am Tag nach der Bekanntgabe der Bescheinigungsstelle nach § 2 Absatz 1 in Kraft, frühestens am 1. Januar 2020. Der Tag des Inkrafttretens ist durch das Bundesministerium für Bildung und Forschung im Bundesgesetzblatt gesondert bekannt zu geben.</w:t>
      </w:r>
    </w:p>
    <w:p>
      <w:r>
        <w:rPr>
          <w:color w:val="555555"/>
          <w:sz w:val="17"/>
        </w:rPr>
        <w:t xml:space="preserve">Zitiervorschlag: § 8 FZulBV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https://recht.nulegal.eu/gesetze/FZulBV/8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