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FZulBV — Antragsprüfung</w:t>
      </w:r>
    </w:p>
    <w:p>
      <w:r>
        <w:rPr>
          <w:color w:val="555555"/>
          <w:sz w:val="18"/>
        </w:rPr>
        <w:t xml:space="preserve">Forschungszulagen-Bescheinigungsverordnung</w:t>
      </w:r>
    </w:p>
    <w:p>
      <w:r>
        <w:rPr>
          <w:color w:val="555555"/>
          <w:sz w:val="18"/>
        </w:rPr>
        <w:t xml:space="preserve">Stand: 23.06.2022 (konsolidierte Textfassung, kein amtliches Inkrafttretensdatum)</w:t>
      </w:r>
    </w:p>
    <w:p>
      <w:r>
        <w:t xml:space="preserve">(1) Die Bescheinigungsstelle prüft auf der Grundlage einheitlicher Vorgaben, ob ein Forschungs- und Entwicklungsvorhaben im Sinne des § 2 Absatz 1 bis 3 des Gesetzes vorliegt.</w:t>
      </w:r>
    </w:p>
    <w:p>
      <w:r>
        <w:t xml:space="preserve">(2) Die Prüfung eines Antrags erfolgt auf Grundlage der vom Antragsteller im Antrag nach § 3 gemachten Angaben. Die Bescheinigungsstelle kann im Rahmen der Prüfung ergänzende Unterlagen anfordern und bei Bedarf Vorortprüfungen durchführen.</w:t>
      </w:r>
    </w:p>
    <w:p>
      <w:r>
        <w:t xml:space="preserve">(3) Soweit die Bescheinigungsstelle es in Ausnahmefällen für erforderlich hält, kann sie für die inhaltliche Prüfung eines Forschungs- und Entwicklungsvorhabens auf das Vorliegen der Voraussetzungen nach § 2 Absatz 1 bis 3 des Forschungszulagengesetzes externe Gutachterinnen und Gutachter hinzuziehen, wenn der Antragsteller der Hinzuziehung nicht bei der Antragstellung widersprochen hat.</w:t>
      </w:r>
    </w:p>
    <w:p>
      <w:r>
        <w:t xml:space="preserve">(4) Den externen Gutachterinnen und Gutachtern sind in Fällen des Absatzes 3 die Antragsunterlagen durch die zuständige Bescheinigungsstelle zur Prüfung zur Verfügung zu stellen. Die Gutachterinnen und Gutachter sind zur Geheimhaltung besonders zu verpflichten. § 1 Absatz 2 und 3 des Verpflichtungsgesetzes vom 2. März 1974 (BGBl. I S. 469, 547), das durch § 1 Nummer 4 des Gesetzes vom 15. August 1974 (BGBl. I S. 1942) geändert worden ist, gilt entsprechend. Vorhandene oder potentielle Interessenkonflikte schließen eine Verpflichtung als Gutachterin oder Gutachter aus.</w:t>
      </w:r>
    </w:p>
    <w:p>
      <w:r>
        <w:t xml:space="preserve">(5) Die Kosten der externen Gutachten trägt die Bescheinigungsstelle.</w:t>
      </w:r>
    </w:p>
    <w:p>
      <w:r>
        <w:rPr>
          <w:color w:val="555555"/>
          <w:sz w:val="17"/>
        </w:rPr>
        <w:t xml:space="preserve">Zitiervorschlag: § 4 FZulBV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