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FZV 2023 — Zuteilung von Kennzeichen</w:t>
      </w:r>
    </w:p>
    <w:p>
      <w:r>
        <w:rPr>
          <w:color w:val="555555"/>
          <w:sz w:val="18"/>
        </w:rPr>
        <w:t xml:space="preserve">Fahrzeug-Zulassungsverordnung</w:t>
      </w:r>
    </w:p>
    <w:p>
      <w:r>
        <w:rPr>
          <w:color w:val="555555"/>
          <w:sz w:val="18"/>
        </w:rPr>
        <w:t xml:space="preserve">Stand: 31.12.2025 (konsolidierte Textfassung, kein amtliches Inkrafttretensdatum)</w:t>
      </w:r>
    </w:p>
    <w:p>
      <w:r>
        <w:t xml:space="preserve">(1) Die Zulassungsbehörde hat dem Fahrzeug ein Kennzeichen zuzuteilen, um eine Identifizierung des Halters zu ermöglichen. Das Kennzeichen hat zu bestehen aus</w:t>
      </w:r>
    </w:p>
    <w:p>
      <w:pPr>
        <w:ind w:left="420"/>
      </w:pPr>
      <w:r>
        <w:t xml:space="preserve">1. einem Unterscheidungszeichen mit ein bis drei Buchstaben für den Verwaltungsbezirk, in dem das Fahrzeug zugelassen ist, und</w:t>
      </w:r>
    </w:p>
    <w:p>
      <w:pPr>
        <w:ind w:left="420"/>
      </w:pPr>
      <w:r>
        <w:t xml:space="preserve">2. einer auf das einzelne Fahrzeug bezogenen Erkennungsnummer.</w:t>
      </w:r>
    </w:p>
    <w:p>
      <w:r>
        <w:t xml:space="preserve">Die Zeichenkombination der Erkennungsnummer sowie die Kombination aus Unterscheidungszeichen und Erkennungsnummer dürfen nicht gegen die guten Sitten verstoßen. Die Zuteilung der Erkennungsnummer hat nach Anlage 1 zu erfolgen. Das für die Zuteilung vorgesehene Kennzeichen ist dem Antragsteller auf Verlangen vor der Zuteilung mitzuteilen. Fahrzeuge der Bundes- und Landesorgane, der Bundesministerien, der Bundesfinanzverwaltung, der Bundespolizei, des Bundeskriminalamts, der Wasserstraßen- und Schifffahrtsverwaltung des Bundes, der Bundesanstalt Technisches Hilfswerk, der Bundeswehr, des Diplomatischen Corps und bevorrechtigter internationaler Organisationen können besondere Kennzeichen nach Anlage 2 erhalten. Die Erkennungsnummern dieser Fahrzeuge dürfen nur aus höchstens sechsstelligen Zahlen bestehen.</w:t>
      </w:r>
    </w:p>
    <w:p>
      <w:r>
        <w:t xml:space="preserve">(2) Bei der Zulassung von zwei Fahrzeugen auf denselben Halter oder der Zuteilung eines Kennzeichens für zwei zulassungsfreie kennzeichenpflichtige Fahrzeuge desselben Halters ist im Rahmen des Absatzes 1 Satz 1 auf dessen Antrag für diese Fahrzeuge ein Wechselkennzeichen zuzuteilen, sofern die Fahrzeuge zu der gleichen Fahrzeugklasse der Fahrzeugklassen M1, L oder O1 nach Anlage XXIX der Straßenverkehrs-Zulassungs-Ordnung gehören und Kennzeichenschilder gleicher Anzahl und Abmessungen an den Fahrzeugen verwendet werden können. Ein Wechselkennzeichen darf nicht als Saisonkennzeichen, rotes Kennzeichen, Kurzzeitkennzeichen oder Ausfuhrkennzeichen ausgeführt werden. Das Wechselkennzeichen hat aus einem gemeinsamen Kennzeichenteil für alle Fahrzeuge und einem fahrzeugbezogenen Teil für jedes einzelne Fahrzeug zu bestehen. Absatz 1 Satz 2 bis 4 gilt mit der Maßgabe, dass</w:t>
      </w:r>
    </w:p>
    <w:p>
      <w:pPr>
        <w:ind w:left="420"/>
      </w:pPr>
      <w:r>
        <w:t xml:space="preserve">1. Unterscheidungszeichen und der bis auf die letzte Ziffer gleiche Teil der Erkennungsnummer den gemeinsamen Kennzeichenteil bilden und</w:t>
      </w:r>
    </w:p>
    <w:p>
      <w:pPr>
        <w:ind w:left="420"/>
      </w:pPr>
      <w:r>
        <w:t xml:space="preserve">2. die letzte Ziffer der Erkennungsnummer den jeweiligen fahrzeugbezogenen Teil bildet.</w:t>
      </w:r>
    </w:p>
    <w:p>
      <w:r>
        <w:t xml:space="preserve">Ein Wechselkennzeichen darf von der das Fahrzeug führenden Person zur selben Zeit nur an einem der Fahrzeuge, für die es zugeteilt worden ist, geführt werden. Ein Fahrzeug, für das ein Wechselkennzeichen zugeteilt ist, darf von der das Fahrzeug führenden Person auf öffentlichen Straßen nur</w:t>
      </w:r>
    </w:p>
    <w:p>
      <w:pPr>
        <w:ind w:left="420"/>
      </w:pPr>
      <w:r>
        <w:t xml:space="preserve">1. in Betrieb gesetzt werden oder</w:t>
      </w:r>
    </w:p>
    <w:p>
      <w:pPr>
        <w:ind w:left="420"/>
      </w:pPr>
      <w:r>
        <w:t xml:space="preserve">2. abgestellt werden,</w:t>
      </w:r>
    </w:p>
    <w:p>
      <w:r>
        <w:t xml:space="preserve">wenn das Wechselkennzeichen an diesem Fahrzeug vollständig angebracht ist. Der Halter darf</w:t>
      </w:r>
    </w:p>
    <w:p>
      <w:pPr>
        <w:ind w:left="420"/>
      </w:pPr>
      <w:r>
        <w:t xml:space="preserve">1. die Inbetriebsetzung eines Fahrzeuges oder</w:t>
      </w:r>
    </w:p>
    <w:p>
      <w:pPr>
        <w:ind w:left="420"/>
      </w:pPr>
      <w:r>
        <w:t xml:space="preserve">2. das Abstellen eines Fahrzeuges</w:t>
      </w:r>
    </w:p>
    <w:p>
      <w:r>
        <w:t xml:space="preserve">auf öffentlichen Straßen nur anordnen oder zulassen, wenn die Voraussetzungen nach Satz 6 vorliegen. § 41 Absatz 1 bleibt unberührt.</w:t>
      </w:r>
    </w:p>
    <w:p>
      <w:r>
        <w:t xml:space="preserve">(3) Die Unterscheidungszeichen der Verwaltungsbezirke werden auf Antrag der Länder vom Bundesministerium für Verkehr festgelegt oder aufgehoben. Die Buchstabenkombination des Unterscheidungszeichens darf nicht gegen die guten Sitten verstoßen. Die Länder können auch die Festlegung von mehr als einem Unterscheidungszeichen für einen Verwaltungsbezirk beantragen. Die Beantragung eines zusätzlichen Unterscheidungszeichens für einen Verwaltungsbezirk kann seitens der Länder erfolgen, wenn ohne dieses ein Verbrauch der verfügbaren Kennzeichenkombinationen unmittelbar bevorsteht. Die Festlegung und Aufhebung der Unterscheidungszeichen ist vom Bundesministerium für Verkehr unverzüglich im Bundesanzeiger zu veröffentlichen. Ein Kennzeichen, dessen Unterscheidungszeichen aufgehoben ist, darf bis zur Außerbetriebsetzung des betroffenen Fahrzeuges weitergeführt werden.</w:t>
      </w:r>
    </w:p>
    <w:p>
      <w:r>
        <w:t xml:space="preserve">(4) Die Zulassungsbehörde kann das zugeteilte Kennzeichen von Amts wegen oder auf Antrag ändern. Hierzu kann sie die Vorlage der bisherigen abgestempelten Kennzeichenschilder zur Entstempelung sowie die Vorführung des Fahrzeuges anordnen.</w:t>
      </w:r>
    </w:p>
    <w:p>
      <w:r>
        <w:rPr>
          <w:color w:val="555555"/>
          <w:sz w:val="17"/>
        </w:rPr>
        <w:t xml:space="preserve">Zitiervorschlag: § 9 FZV 2023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https://recht.nulegal.eu/gesetze/FZV%202023/9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