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FZV 2023 — Übergangs- und Anwendungsbestimmungen</w:t>
      </w:r>
    </w:p>
    <w:p>
      <w:r>
        <w:rPr>
          <w:color w:val="555555"/>
          <w:sz w:val="18"/>
        </w:rPr>
        <w:t xml:space="preserve">Fahrzeug-Zulassungsverordnung</w:t>
      </w:r>
    </w:p>
    <w:p>
      <w:r>
        <w:rPr>
          <w:color w:val="555555"/>
          <w:sz w:val="18"/>
        </w:rPr>
        <w:t xml:space="preserve">Stand: 20.06.2024 (konsolidierte Textfassung, kein amtliches Inkrafttretensdatum)</w:t>
      </w:r>
    </w:p>
    <w:p>
      <w:r>
        <w:t xml:space="preserve">(1) Ein Fahrzeug, das nach § 18 Absatz 2 der Straßenverkehrs-Zulassungs-Ordnung in der bis zum 28. Februar 2007 geltenden Fassung der Zulassungspflicht oder dem Zulassungsverfahren nicht unterworfen war und das vor dem 1. März 2007 erstmals in Verkehr kam, bleibt weiterhin zulassungsfrei. Sofern für dieses Fahrzeug keine Betriebserlaubnis erforderlich war, bedarf es keiner Genehmigung nach § 2 Nummer 4 bis 6.</w:t>
      </w:r>
    </w:p>
    <w:p>
      <w:r>
        <w:t xml:space="preserve">(2) Einem Kraftrad, das vor dem 1. Januar 1959 erstmals in den Verkehr gekommen ist und dessen Hubraum 50 Kubikzentimeter übersteigt, sind verkleinerte zweizeilige Kennzeichen nach Anlage 4 Nummer 1 Satz 1 Buchstabe d zuzuteilen, es sei denn, der Halter beantragt etwas anderes.</w:t>
      </w:r>
    </w:p>
    <w:p>
      <w:r>
        <w:t xml:space="preserve">(3) Ein Kennzeichen, das vor dem 1. März 2007 nach Maßgabe der Straßenverkehrs-Zulassungs-Ordnung zugeteilt worden ist, bleibt gültig.</w:t>
      </w:r>
    </w:p>
    <w:p>
      <w:r>
        <w:t xml:space="preserve">(3a) Ein Kennzeichen, das vor dem 1. September 2023 nach Maßgabe der vor diesem Zeitpunkt geltenden Fahrzeug-Zulassungsverordnung zugeteilt worden ist, bleibt gültig, sofern nichts Abweichendes bestimmt ist.</w:t>
      </w:r>
    </w:p>
    <w:p>
      <w:r>
        <w:t xml:space="preserve">(4) Ein Unterscheidungszeichen nach Anlage 1 Nummer 1 in der bis zum 31. Oktober 2012 geltenden Fassung dieser Verordnung gilt als beantragt und festgelegt im Sinne des § 9 Absatz 3 Satz 1 und 6. Ein Unterscheidungszeichen nach Anlage 1 Nummer 2 in der bis zum 31. Oktober 2012 geltenden Fassung dieser Verordnung gilt als aufgehoben im Sinne des § 9 Absatz 3 Satz 1 und 6. Abweichend von § 9 Absatz 3 Satz 4 darf ein Unterscheidungszeichen nach Anlage 1 in der bis zum 31. Oktober 2012 geltenden Fassung ohne Rücksicht auf den bevorstehenden Verbrauch verfügbarer Kennzeichenkombinationen festgelegt werden.</w:t>
      </w:r>
    </w:p>
    <w:p>
      <w:r>
        <w:t xml:space="preserve">(5) Folgende Fahrzeugdokumente gelten als Fahrzeugdokumente im Sinne dieser Verordnung fort:</w:t>
      </w:r>
    </w:p>
    <w:p>
      <w:pPr>
        <w:ind w:left="420"/>
      </w:pPr>
      <w:r>
        <w:t xml:space="preserve">1. ein Fahrzeugschein und ein Anhängerschein, der vor dem 1. März 2007 ausgefertigt wurde und einem der folgenden Muster entspricht:</w:t>
      </w:r>
    </w:p>
    <w:p>
      <w:pPr>
        <w:ind w:left="780"/>
      </w:pPr>
      <w:r>
        <w:t xml:space="preserve">a) den Mustern 2, 2a, 2b, 3 und 3a der Straßenverkehrs-Zulassungs-Ordnung in der im Bundesgesetzblatt Teil III, Gliederungsnummer 9232-1, veröffentlichten bereinigten Fassung,</w:t>
      </w:r>
    </w:p>
    <w:p>
      <w:pPr>
        <w:ind w:left="780"/>
      </w:pPr>
      <w:r>
        <w:t xml:space="preserve">b) den Mustern 2a, 2b und 3 der Straßenverkehrs-Zulassungs-Ordnung in der Fassung der Verordnung vom 21. Juli 1969 (BGBl. I S. 845),</w:t>
      </w:r>
    </w:p>
    <w:p>
      <w:pPr>
        <w:ind w:left="780"/>
      </w:pPr>
      <w:r>
        <w:t xml:space="preserve">c) den Mustern 2a und 2b der Straßenverkehrs-Zulassungs-Ordnung in der Fassung der Bekanntmachung vom 15. November 1974 (BGBl. I S. 3193) und</w:t>
      </w:r>
    </w:p>
    <w:p>
      <w:pPr>
        <w:ind w:left="780"/>
      </w:pPr>
      <w:r>
        <w:t xml:space="preserve">d) den Mustern 2a und 2b der Straßenverkehrs-Zulassungs-Ordnung in der Fassung der Bekanntmachung vom 28. September 1988 (BGBl. I S. 1793);</w:t>
      </w:r>
    </w:p>
    <w:p>
      <w:pPr>
        <w:ind w:left="420"/>
      </w:pPr>
      <w:r>
        <w:t xml:space="preserve">2. ein Fahrzeugbrief, der durch eine Zulassungsbehörde bis zum 30. September 2005 ausgefertigt worden ist, sofern nicht ein Umtausch in eine Zulassungsbescheinigung Teil II erforderlich ist, weil der Fahrzeugschein nach einem bisher gültigen Muster durch eine Zulassungsbescheinigung Teil I ersetzt wird;</w:t>
      </w:r>
    </w:p>
    <w:p>
      <w:pPr>
        <w:ind w:left="420"/>
      </w:pPr>
      <w:r>
        <w:t xml:space="preserve">3. ein Fahrzeugschein, der durch die Bundeswehr bis zum 30. September 2005 ausgefertigt worden ist;</w:t>
      </w:r>
    </w:p>
    <w:p>
      <w:pPr>
        <w:ind w:left="420"/>
      </w:pPr>
      <w:r>
        <w:t xml:space="preserve">4. eine Zulassungsbescheinigung Teil I oder ein Fahrzeugschein, die dem Muster 2a der Straßenverkehrs-Zulassungs-Ordnung in der Fassung der Verordnung vom 24. September 2004 (BGBl. I S. 2374) entsprechen und in dem Zeitraum vom 1. Oktober 2005 bis zum 31. März 2008 ausgefertigt worden sind;</w:t>
      </w:r>
    </w:p>
    <w:p>
      <w:pPr>
        <w:ind w:left="420"/>
      </w:pPr>
      <w:r>
        <w:t xml:space="preserve">5. eine Zulassungsbescheinigung Teil II oder ein Fahrzeugbrief, die dem Muster 2b der Straßenverkehrs-Zulassungs-Ordnung in der Fassung der Verordnung vom 24. September 2004 (BGBl. I S. 2374) entsprechen und in dem Zeitraum vom 1. Oktober 2005 bis zum 31. März 2008 ausgefertigt worden sind;</w:t>
      </w:r>
    </w:p>
    <w:p>
      <w:pPr>
        <w:ind w:left="420"/>
      </w:pPr>
      <w:r>
        <w:t xml:space="preserve">6. eine Zulassungsbescheinigung Teil I oder ein Fahrzeugschein der Bundeswehr, die dem Muster 2c der Straßenverkehrs-Zulassungs-Ordnung in der Fassung der Verordnung vom 24. September 2004 (BGBl. I S. 2374) entsprechen und in dem Zeitraum vom 1. Oktober 2005 bis zum 31. März 2008 ausgefertigt worden sind;</w:t>
      </w:r>
    </w:p>
    <w:p>
      <w:pPr>
        <w:ind w:left="420"/>
      </w:pPr>
      <w:r>
        <w:t xml:space="preserve">7. eine Zulassungsbescheinigung Teil I, die den Mustern in den Anlagen 5 und 6 in der bis zum 31. Oktober 2012 geltenden Fassung dieser Verordnung entspricht und bis zum 30. Juni 2013 ausgefertigt worden ist;</w:t>
      </w:r>
    </w:p>
    <w:p>
      <w:pPr>
        <w:ind w:left="420"/>
      </w:pPr>
      <w:r>
        <w:t xml:space="preserve">8. ein Fahrzeugschein und ein Fahrzeugscheinheft für ein Fahrzeug mit einem roten Oldtimerkennzeichen nach § 43, die in der bis zum 31. Oktober 2012 geltenden Fassung dieser Verordnung ausgefertigt worden sind;</w:t>
      </w:r>
    </w:p>
    <w:p>
      <w:pPr>
        <w:ind w:left="420"/>
      </w:pPr>
      <w:r>
        <w:t xml:space="preserve">9. eine Zulassungsbescheinigung Teil I, die dem Muster in Anlage 5 in der bis zum 1. Januar 2015 geltenden Fassung dieser Verordnung entspricht;</w:t>
      </w:r>
    </w:p>
    <w:p>
      <w:pPr>
        <w:ind w:left="420"/>
      </w:pPr>
      <w:r>
        <w:t xml:space="preserve">10. eine Zulassungsbescheinigung Teil I, die dem Muster in Anlage 5 in der bis zum 30. September 2017 geltenden Fassung dieser Verordnung entspricht und bis zum 19. Mai 2018 ausgefertigt worden ist;</w:t>
      </w:r>
    </w:p>
    <w:p>
      <w:pPr>
        <w:ind w:left="420"/>
      </w:pPr>
      <w:r>
        <w:t xml:space="preserve">11. eine Zulassungsbescheinigung Teil I, die den Mustern in den Anlagen 5 und 6 in der bis zum 1. April 2015 geltenden Fassung dieser Verordnung entspricht;</w:t>
      </w:r>
    </w:p>
    <w:p>
      <w:pPr>
        <w:ind w:left="420"/>
      </w:pPr>
      <w:r>
        <w:t xml:space="preserve">12. eine Zulassungsbescheinigung Teil II, die dem Muster in Anlage 7 in der bis zum 1. April 2015 geltenden Fassung dieser Verordnung entspricht;</w:t>
      </w:r>
    </w:p>
    <w:p>
      <w:pPr>
        <w:ind w:left="420"/>
      </w:pPr>
      <w:r>
        <w:t xml:space="preserve">13. eine Zulassungsbescheinigung Teil II, die dem Muster der Anlage 7 in der bis zum 31. Dezember 2017 geltenden Fassung dieser Verordnung entspricht und bis zum 31. März 2018 ausgefertigt worden ist;</w:t>
      </w:r>
    </w:p>
    <w:p>
      <w:pPr>
        <w:ind w:left="420"/>
      </w:pPr>
      <w:r>
        <w:t xml:space="preserve">14. eine Zulassungsbescheinigung Teil I, die dem Muster in Anlage 5 in der bis zum 30. September 2017 geltenden Fassung dieser Verordnung entspricht und bis zum 19. Mai 2018 ausgefertigt worden ist;</w:t>
      </w:r>
    </w:p>
    <w:p>
      <w:pPr>
        <w:ind w:left="420"/>
      </w:pPr>
      <w:r>
        <w:t xml:space="preserve">15. ein Fahrzeugschein für ein Fahrzeug mit einem Kurzzeitkennzeichen, der dem Muster in Anlage 10 in der bis zum 30. September 2017 geltenden Fassung dieser Verordnung entspricht und bis zum 19. Mai 2018 ausgefertigt worden ist;</w:t>
      </w:r>
    </w:p>
    <w:p>
      <w:pPr>
        <w:ind w:left="420"/>
      </w:pPr>
      <w:r>
        <w:t xml:space="preserve">16. eine Zulassungsbescheinigung Teil I, die dem Muster in Anlage 5 in der bis zum 30. September 2019 geltenden Fassung dieser Verordnung entspricht und bis zum 30. September 2020 ausgefertigt worden ist.</w:t>
      </w:r>
    </w:p>
    <w:p>
      <w:r>
        <w:t xml:space="preserve">(6) Eine Stempelplakette, mit der Kennzeichenschilder vor dem 1. Januar 2015 abgestempelt worden sind, bleibt gültig.</w:t>
      </w:r>
    </w:p>
    <w:p>
      <w:r>
        <w:t xml:space="preserve">(7) Folgende Vorschriften über Erhebung und Speicherung der Daten im Zentralen Fahrzeugregister sind ab dem 1. September 2008 anzuwenden:</w:t>
      </w:r>
    </w:p>
    <w:p>
      <w:pPr>
        <w:ind w:left="420"/>
      </w:pPr>
      <w:r>
        <w:t xml:space="preserve">1. § 57 Absatz 1 Nummer 1 in Verbindung mit</w:t>
      </w:r>
    </w:p>
    <w:p>
      <w:pPr>
        <w:ind w:left="780"/>
      </w:pPr>
      <w:r>
        <w:t xml:space="preserve">a) § 6 Absatz 5 Nummer 1 und 2,</w:t>
      </w:r>
    </w:p>
    <w:p>
      <w:pPr>
        <w:ind w:left="780"/>
      </w:pPr>
      <w:r>
        <w:t xml:space="preserve">b) § 6 Absatz 8 Satz 1 Nummer 2 hinsichtlich der Nummer und des Datums der Erteilung der Genehmigung und</w:t>
      </w:r>
    </w:p>
    <w:p>
      <w:pPr>
        <w:ind w:left="780"/>
      </w:pPr>
      <w:r>
        <w:t xml:space="preserve">c) § 6 Absatz 8 Satz 1 Nummer 7</w:t>
      </w:r>
    </w:p>
    <w:p>
      <w:pPr>
        <w:ind w:left="1140"/>
      </w:pPr>
      <w:r>
        <w:t xml:space="preserve">aa) Buchstabe d hinsichtlich der zulässigen Anhängelast und des Leistungsgewichts bei Krafträdern,</w:t>
      </w:r>
    </w:p>
    <w:p>
      <w:pPr>
        <w:ind w:left="1140"/>
      </w:pPr>
      <w:r>
        <w:t xml:space="preserve">bb) Buchstabe h hinsichtlich der Nenndrehzahl und</w:t>
      </w:r>
    </w:p>
    <w:p>
      <w:pPr>
        <w:ind w:left="1140"/>
      </w:pPr>
      <w:r>
        <w:t xml:space="preserve">cc) Buchstaben i bis l,</w:t>
      </w:r>
    </w:p>
    <w:p>
      <w:pPr>
        <w:ind w:left="420"/>
      </w:pPr>
      <w:r>
        <w:t xml:space="preserve">2. § 57 Absatz 1 Nummer 2, 7 und 9 hinsichtlich des Datums der Zuteilung,</w:t>
      </w:r>
    </w:p>
    <w:p>
      <w:pPr>
        <w:ind w:left="420"/>
      </w:pPr>
      <w:r>
        <w:t xml:space="preserve">3. § 57 Absatz 1 Nummer 10 Buchstabe b, Nummer 20 bis 22 und 24 Buchstabe b und d,</w:t>
      </w:r>
    </w:p>
    <w:p>
      <w:pPr>
        <w:ind w:left="420"/>
      </w:pPr>
      <w:r>
        <w:t xml:space="preserve">4. § 57 Absatz 1 Nummer 25 bis 29 und</w:t>
      </w:r>
    </w:p>
    <w:p>
      <w:pPr>
        <w:ind w:left="420"/>
      </w:pPr>
      <w:r>
        <w:t xml:space="preserve">5. § 57 Absatz 3 hinsichtlich der auf das Kurzzeitkennzeichen bezogenen Daten.</w:t>
      </w:r>
    </w:p>
    <w:p>
      <w:r>
        <w:t xml:space="preserve">Eine Nacherfassung der Daten nach Satz 1 für Fahrzeuge, die zu diesem Zeitpunkt bereits in Verkehr waren, erfolgt nicht.</w:t>
      </w:r>
    </w:p>
    <w:p>
      <w:r>
        <w:t xml:space="preserve">(8) Ein Fahrzeug, das nach der bis zum 2. Juli 2021 geltenden Fassung dieser Verordnung als zulassungspflichtig zugelassen worden ist und welches die Voraussetzungen nach § 2 Nummer 12 erfüllt, gilt ab dem 3. Juli 2021 als nach § 3 Absatz 4 zugelassen. Ein Fahrzeug, das nach § 2 Nummer 12 in Verbindung mit § 3 Absatz 3 Satz 1 Nummer 1 Buchstabe f, jeweils in der bis zum 2. Juli 2021 geltenden Fassung, von den Vorschriften über das Zulassungsverfahren ausgenommen war, vor dem 2. Juli 2021 erstmals rechtmäßig in den Verkehr gekommen ist und nicht zugleich ein leichtes vierrädriges Kraftfahrzeug im Sinne von § 2 Satz 1 Nummer 12 ist, bleibt weiterhin von den Vorschriften über das Zulassungsverfahren ausgenommen.</w:t>
      </w:r>
    </w:p>
    <w:p>
      <w:r>
        <w:t xml:space="preserve">(9) § 11 und Anlage 3 sind mit Ablauf des 31. Dezember 2026 nicht mehr anzuwenden.</w:t>
      </w:r>
    </w:p>
    <w:p>
      <w:r>
        <w:t xml:space="preserve">(10) Bis zum 2. Mai 2025 kann die Großkundenschnittstelle entgegen § 38 Absatz 5 und 6 einen in der Großkundenschnittstelle eingehenden Antrag an ein anderes von der Zulassungsbehörde bestimmtes informationstechnisches System senden.</w:t>
      </w:r>
    </w:p>
    <w:p>
      <w:r>
        <w:t xml:space="preserve">(11) Eine bisher verwendete Tafel, die nach einem älteren Stand der Regelung Nr. 69 der Wirtschaftskommission der Vereinten Nationen für Europa (UN/ECE) – Einheitliche Bedingungen für die Genehmigung von Tafeln zur hinteren Kennzeichnung bauartbedingt langsam fahrender Kraftfahrzeuge und ihrer Anhänger (ABl. L 200 vom 31.7.2010, S. 1) genehmigt worden ist, kann auch weiterhin verwendet werden.</w:t>
      </w:r>
    </w:p>
    <w:p>
      <w:r>
        <w:t xml:space="preserve">(12) Die nach § 6 Absatz 5 Nummer 5 zu erhebende und zu speichernde Anschrift des regelmäßigen Standortes des Fahrzeugs wird bis zum 1. Mai 2024 nur in den örtlichen Fahrzeugregistern gespeichert.</w:t>
      </w:r>
    </w:p>
    <w:p>
      <w:r>
        <w:t xml:space="preserve">(13) Abweichend von § 18 Absatz 3 Nummer 2 muss eine Zulassungsbehörde die Mindestsicherheitsanforderungen des Kraftfahrt-Bundesamtes ab dem 31. Dezember 2023 erfüllen und die darin festgelegten Nachweise erbringen. Bis zu dem in Satz 1 genannten Datum gelten für die Übermittlung und Bearbeitung von Anträgen die Vorschriften, die diese Verordnung für den Fall vorsieht, dass das Portal der Zulassungsbehörde nicht verfügbar ist. Das Kraftfahrt-Bundesamt hat die von den Zulassungsbehörden zum Nachweis der Einhaltung der Mindestsicherheitsanforderungen vorgelegten Unterlagen innerhalb von 20 Arbeitstagen zu bearbeiten.</w:t>
      </w:r>
    </w:p>
    <w:p>
      <w:r>
        <w:rPr>
          <w:color w:val="555555"/>
          <w:sz w:val="17"/>
        </w:rPr>
        <w:t xml:space="preserve">Zitiervorschlag: § 79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