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FZV 2023 — Ausnahmen</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Die zuständigen obersten Landesbehörden oder die von ihnen bestimmten oder nach Landesrecht zuständigen Stellen können vorbehaltlich des Satzes 2 Ausnahmen von den Vorschriften der Abschnitte 1 bis 5 dieser Verordnung genehmigen</w:t>
      </w:r>
    </w:p>
    <w:p>
      <w:pPr>
        <w:ind w:left="420"/>
      </w:pPr>
      <w:r>
        <w:t xml:space="preserve">1. in bestimmten Einzelfällen oder</w:t>
      </w:r>
    </w:p>
    <w:p>
      <w:pPr>
        <w:ind w:left="420"/>
      </w:pPr>
      <w:r>
        <w:t xml:space="preserve">2. allgemein für bestimmte einzelne Antragsteller.</w:t>
      </w:r>
    </w:p>
    <w:p>
      <w:r>
        <w:t xml:space="preserve">Ausnahmen nach Satz 1 dürfen sich nicht auf § 9 Absatz 2, § 11 Absatz 1 und § 14 Absatz 1 und 3 Satz 1 sowie Abschnitt 3 Unterabschnitt 5 erstrecken. Sofern die Ausnahme erhebliche Auswirkungen auf das Gebiet anderer Länder hat, hat die Entscheidung darüber im Einvernehmen mit den zuständigen Behörden dieser Länder zu ergehen.</w:t>
      </w:r>
    </w:p>
    <w:p>
      <w:r>
        <w:t xml:space="preserve">(2) In jeder Genehmigung nach Absatz 1 ist ihr örtlicher Geltungsbereich festzulegen.</w:t>
      </w:r>
    </w:p>
    <w:p>
      <w:r>
        <w:t xml:space="preserve">(3) Sofern eine Genehmigung einer Ausnahme nach Absatz 1 Satz 1 Nummer 1 mit Bedingungen erlassen oder mit Auflagen verbunden ist, hat die das Fahrzeug führende Person die Genehmigung bei Fahrten mitzuführen und zuständigen Personen auf Verlangen zur Prüfung auszuhändigen.</w:t>
      </w:r>
    </w:p>
    <w:p>
      <w:r>
        <w:t xml:space="preserve">(4) Die Vorschriften dieser Verordnung gelten nicht für die Bundeswehr, die Polizei, die Bundespolizei, die Feuerwehr, die Bundesanstalt Technisches Hilfswerk, das Bundesamt für Bevölkerungsschutz und Katastrophenhilfe und die anderen Einheiten und Einrichtungen des Zivil- und Katastrophenschutzes sowie der Zollverwaltung, soweit dies zur Erfüllung hoheitlicher Aufgaben unter gebührender Berücksichtigung der öffentlichen Sicherheit und Ordnung notwendig ist.</w:t>
      </w:r>
    </w:p>
    <w:p>
      <w:r>
        <w:rPr>
          <w:color w:val="555555"/>
          <w:sz w:val="17"/>
        </w:rPr>
        <w:t xml:space="preserve">Zitiervorschlag: § 76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