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FZV 2023 — Zuständigkeiten</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Diese Verordnung wird, soweit nichts anderes bestimmt ist, von den nach Landesrecht zuständigen Behörden ausgeführt.</w:t>
      </w:r>
    </w:p>
    <w:p>
      <w:r>
        <w:t xml:space="preserve">(2) Örtlich zuständig ist, soweit nichts anderes bestimmt ist,</w:t>
      </w:r>
    </w:p>
    <w:p>
      <w:pPr>
        <w:ind w:left="420"/>
      </w:pPr>
      <w:r>
        <w:t xml:space="preserve">1. die Behörde des Wohnorts des Antragstellers oder Betroffenen,</w:t>
      </w:r>
    </w:p>
    <w:p>
      <w:pPr>
        <w:ind w:left="420"/>
      </w:pPr>
      <w:r>
        <w:t xml:space="preserve">2. bei mehreren Wohnungen des Antragstellers oder Betroffenen die Behörde des Ortes der Hauptwohnung im Sinne des Bundesmeldegesetzes,</w:t>
      </w:r>
    </w:p>
    <w:p>
      <w:pPr>
        <w:ind w:left="420"/>
      </w:pPr>
      <w:r>
        <w:t xml:space="preserve">3. mangels eines Wohnortes oder einer Hauptwohnung die Behörde des Aufenthaltsortes des Antragstellers oder Betroffenen,</w:t>
      </w:r>
    </w:p>
    <w:p>
      <w:pPr>
        <w:ind w:left="420"/>
      </w:pPr>
      <w:r>
        <w:t xml:space="preserve">4. bei einer juristischen Person, einem Gewerbetreibenden und einem Selbstständigen mit festem Betriebssitz oder einer Behörde die Behörde des Sitzes oder des Ortes der beteiligten Niederlassung oder Dienststelle.</w:t>
      </w:r>
    </w:p>
    <w:p>
      <w:r>
        <w:t xml:space="preserve">Besteht in der Bundesrepublik Deutschland kein Wohnsitz, kein Sitz, keine Niederlassung oder keine Dienststelle, so ist die Behörde des Wohnorts eines Empfangsbevollmächtigten zuständig. Im Fall des § 6 Absatz 2 Satz 2 ist die Behörde am regelmäßigen Standort des Fahrzeuges zuständig.</w:t>
      </w:r>
    </w:p>
    <w:p>
      <w:r>
        <w:t xml:space="preserve">(3) Örtlich zuständige Behörde im Sinne des § 15 Absatz 5 Satz 5 und des § 51 Absatz 4 ist die Behörde, die das Kennzeichen zugeteilt hat, es sei denn, dass im Fall des § 15 Absatz 4 Satz 1 Nummer 2 die für den neuen Wohnsitz oder den neuen Sitz zuständige Behörde die Zulassungsbescheinigung Teil I bereits nach § 15 Absatz 4 Satz 5 geändert hat.</w:t>
      </w:r>
    </w:p>
    <w:p>
      <w:r>
        <w:t xml:space="preserve">(4) Ein Antrag kann mit Zustimmung der örtlich zuständigen Verwaltungsbehörde von einer gleichgeordneten auswärtigen Behörde, mit Zustimmung der zuständigen obersten Landesbehörden oder der von ihnen bestimmten oder nach Landesrecht zuständigen Stellen auch in einem anderen Land, behandelt und erledigt werden. Verlangt die Verkehrssicherheit ein sofortiges Eingreifen, so kann an Stelle der örtlich zuständigen Behörde jede ihr gleichgeordnete Behörde mit derselben Wirkung Maßnahmen auf Grund dieser Verordnung vorläufig treffen.</w:t>
      </w:r>
    </w:p>
    <w:p>
      <w:r>
        <w:t xml:space="preserve">(5) Für die Registrierung eines Großkunden nach den Vorschriften über die Großkundenschnittstelle in Abschnitt 3 Unterabschnitt 5 ist das Kraftfahrt-Bundesamt zuständig.</w:t>
      </w:r>
    </w:p>
    <w:p>
      <w:r>
        <w:t xml:space="preserve">(6) Die Zuständigkeiten der Verwaltungsbehörden auf Grund dieser Verordnung sind für die Dienstbereiche der Bundeswehr, der Bundespolizei, des Bundeskriminalamts, der Zollverwaltung, der Bundesanstalt Technisches Hilfswerk und der Polizeien der Länder durch deren Dienststellen nach Bestimmung der Fachminister und Fachministerinnen wahrzunehmen. Die Zuständigkeiten der Verwaltungsbehörden in Bezug auf ein Kraftfahrzeug und einen Anhänger der auf Grund des Nordatlantikvertrags errichteten internationalen militärischen Hauptquartiere sind, soweit das Fahrzeug seinen regelmäßigen Standort im Geltungsbereich dieser Verordnung hat, durch die Dienststellen der Bundeswehr nach Bestimmung des Bundesministers der Verteidigung wahrzunehmen.</w:t>
      </w:r>
    </w:p>
    <w:p>
      <w:r>
        <w:t xml:space="preserve">(7) Für den Dienstbereich der Polizeien der Länder kann die Zulassung eines Kraftfahrzeuges und eines Anhängers nach Bestimmung der Fachminister durch die nach Absatz 1 zuständigen Behörden vorgenommen werden.</w:t>
      </w:r>
    </w:p>
    <w:p>
      <w:r>
        <w:rPr>
          <w:color w:val="555555"/>
          <w:sz w:val="17"/>
        </w:rPr>
        <w:t xml:space="preserve">Zitiervorschlag: § 75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