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FZV 2023 — Übermittlungssperren</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Eine Übermittlungssperre gegenüber Dritten nach § 41 des Straßenverkehrsgesetzes darf nur durch die für die Zulassungsbehörde zuständige oberste Landesbehörde oder die von ihr bestimmten oder nach Landesrecht zuständigen Stellen angeordnet werden. Die Zulassungsbehörde hat die Sperre unverzüglich im örtlichen Fahrzeugregister zu vermerken. Die Sätze 1 und 2 gelten entsprechend für die Änderung einer Sperre. Sobald eine Sperre aufgehoben wird, ist der Sperrvermerk von der Zulassungsbehörde zu löschen.</w:t>
      </w:r>
    </w:p>
    <w:p>
      <w:r>
        <w:t xml:space="preserve">(2) Eine Übermittlungssperre gegenüber einem Dritten ist von der sperrenden Behörde oder der Zulassungsbehörde dem Kraftfahrt-Bundesamt mitzuteilen. Das Kraftfahrt-Bundesamt hat die Sperre und die sperrende Behörde unverzüglich im Zentralen Fahrzeugregister zu vermerken. Die Änderung oder die Aufhebung einer Sperre ist von der sperrenden Behörde oder der zuständigen Zulassungsbehörde dem Kraftfahrt-Bundesamt mitzuteilen. Für die Änderung der Sperre gilt Satz 2 entsprechend. Sobald dem Kraftfahrt-Bundesamt die Aufhebung der Sperre gemeldet wird, so ist der Sperrvermerk unverzüglich zu löschen.</w:t>
      </w:r>
    </w:p>
    <w:p>
      <w:r>
        <w:t xml:space="preserve">(3) Ein Übermittlungsersuchen, das sich auf gesperrte Daten bezieht, ist von der Zulassungsbehörde oder vom Kraftfahrt-Bundesamt an die sperrende Behörde weiterzuleiten.</w:t>
      </w:r>
    </w:p>
    <w:p>
      <w:r>
        <w:rPr>
          <w:color w:val="555555"/>
          <w:sz w:val="17"/>
        </w:rPr>
        <w:t xml:space="preserve">Zitiervorschlag: § 71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