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FZV 2023 — Sicherung des Abrufverfahrens gegen Missbrauch</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Die übermittelnde Stelle darf einen Abruf nach § 36 des Straßenverkehrsgesetzes nur zulassen, wenn bei der Durchführung des Abrufs die folgenden Angaben verwendet werden:</w:t>
      </w:r>
    </w:p>
    <w:p>
      <w:pPr>
        <w:ind w:left="420"/>
      </w:pPr>
      <w:r>
        <w:t xml:space="preserve">1. eine Kennung des zum Abruf berechtigten Nutzers und</w:t>
      </w:r>
    </w:p>
    <w:p>
      <w:pPr>
        <w:ind w:left="420"/>
      </w:pPr>
      <w:r>
        <w:t xml:space="preserve">2. ein Passwort.</w:t>
      </w:r>
    </w:p>
    <w:p>
      <w:r>
        <w:t xml:space="preserve">Nutzer im Sinne des Satzes 1 Nummer 1 kann eine natürliche Person oder eine Dienststelle sein. Bei Abruf über ein sicheres, geschlossenes Netz kann die Kennung nach Satz 1 Nummer 1 auf Antrag des Netzbetreibers als einheitliche Kennung für die an dieses Netz angeschlossenen Nutzer erteilt werden, sofern der Netzbetreiber selbst abrufberechtigt ist. Die Verantwortung für die Sicherheit des Datennetzwerks und die Zulassung ausschließlich berechtigter Nutzer hat im Fall des Satzes 3 der Netzbetreiber zu tragen. Ein Nutzer im Sinne des Satzes 1 Nummer 1, der keine natürliche Person ist, hat sicherzustellen, dass zu jedem Abruf die jeweils abrufende natürliche Person festgestellt werden kann. Der Nutzer oder die abrufende Person hat vor dem ersten Abruf ein eigenes Passwort zu wählen und dieses jeweils spätestens nach einem von der übermittelnden Stelle vorgegebenen Zeitraum zu ändern.</w:t>
      </w:r>
    </w:p>
    <w:p>
      <w:r>
        <w:t xml:space="preserve">(2) Die übermittelnde Stelle hat durch ein selbsttätiges Verfahren zu gewährleisten, dass keine Abrufe erfolgen können, sobald die Kennung nach Absatz 1 Satz 1 Nummer 1 oder das Passwort nach Absatz 1 Satz 1 Nummer 2 mehr als zweimal hintereinander unrichtig übermittelt wurde. Die abrufende Stelle hat Maßnahmen zum Schutz gegen unberechtigte Nutzungen des Abrufsystems zu treffen.</w:t>
      </w:r>
    </w:p>
    <w:p>
      <w:r>
        <w:t xml:space="preserve">(3) Die übermittelnde Stelle hat sicherzustellen, dass die Aufzeichnungen nach § 36 Absatz 6 des Straßenverkehrsgesetzes über die Abrufe selbsttätig erfolgen und dass der Abruf bei nicht ordnungsgemäßer Aufzeichnung unterbrochen wird. Der Aufzeichnung haben auch versuchte Abrufe, die unter Verwendung von fehlerhaften Kennungen mehr als einmal vorgenommen werden, zu unterliegen. Satz 1 gilt entsprechend für die weiteren Aufzeichnungen nach § 36 Absatz 7 des Straßenverkehrsgesetzes.</w:t>
      </w:r>
    </w:p>
    <w:p>
      <w:r>
        <w:t xml:space="preserve">(4) Die Übermittlung durch ein automatisiertes Anfrage- und Auskunftsverfahren beim Kraftfahrt-Bundesamt nach § 36a des Straßenverkehrsgesetzes ist zulässig, wenn sie unter Verwendung einer Kennung der zum Empfang der Daten berechtigten Behörde erfolgt. Der Empfänger hat sicherzustellen, dass die übermittelten Daten nur bei den zum Empfang bestimmten Endgeräten empfangen werden. Die übermittelnde Stelle hat</w:t>
      </w:r>
    </w:p>
    <w:p>
      <w:pPr>
        <w:ind w:left="420"/>
      </w:pPr>
      <w:r>
        <w:t xml:space="preserve">1. durch ein selbsttätiges Verfahren zu gewährleisten, dass eine Übermittlung nicht vorgenommen wird, wenn die Kennung nicht oder unrichtig angegeben wurde,</w:t>
      </w:r>
    </w:p>
    <w:p>
      <w:pPr>
        <w:ind w:left="420"/>
      </w:pPr>
      <w:r>
        <w:t xml:space="preserve">2. versuchte Anfragen ohne Angabe der richtigen Kennung sowie die Angabe einer fehlerhaften Kennung zu protokollieren,</w:t>
      </w:r>
    </w:p>
    <w:p>
      <w:pPr>
        <w:ind w:left="420"/>
      </w:pPr>
      <w:r>
        <w:t xml:space="preserve">3. im Zusammenwirken mit der anfragenden Stelle jedem Fehlversuch nachzugehen und die Maßnahmen zu ergreifen, die zur Sicherung des ordnungsgemäßen Verfahrens notwendig sind, und</w:t>
      </w:r>
    </w:p>
    <w:p>
      <w:pPr>
        <w:ind w:left="420"/>
      </w:pPr>
      <w:r>
        <w:t xml:space="preserve">4. sicherzustellen, dass die Aufzeichnungen nach § 36a Satz 2 des Straßenverkehrsgesetzes selbsttätig erfolgen und die Übermittlung bei nicht ordnungsgemäßer Aufzeichnung unterbrochen wird.</w:t>
      </w:r>
    </w:p>
    <w:p>
      <w:r>
        <w:rPr>
          <w:color w:val="555555"/>
          <w:sz w:val="17"/>
        </w:rPr>
        <w:t xml:space="preserve">Zitiervorschlag: § 68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