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FZV 2023 — Abruf im automatisierten Verfahren</w:t>
      </w:r>
    </w:p>
    <w:p>
      <w:r>
        <w:rPr>
          <w:color w:val="555555"/>
          <w:sz w:val="18"/>
        </w:rPr>
        <w:t xml:space="preserve">Fahrzeug-Zulassungsverordnung</w:t>
      </w:r>
    </w:p>
    <w:p>
      <w:r>
        <w:rPr>
          <w:color w:val="555555"/>
          <w:sz w:val="18"/>
        </w:rPr>
        <w:t xml:space="preserve">Stand: 31.12.2025 (konsolidierte Textfassung, kein amtliches Inkrafttretensdatum)</w:t>
      </w:r>
    </w:p>
    <w:p>
      <w:r>
        <w:t xml:space="preserve">(1) Zur Übermittlung durch Abruf im automatisierten Verfahren aus dem Zentralen Fahrzeugregister nach § 36 Absatz 1 des Straßenverkehrsgesetzes dürfen folgende Daten bereitgehalten werden:</w:t>
      </w:r>
    </w:p>
    <w:p>
      <w:pPr>
        <w:ind w:left="420"/>
      </w:pPr>
      <w:r>
        <w:t xml:space="preserve">1. für eine Anfrage unter Verwendung des Kennzeichens, der Fahrzeug-Identifizierungsnummer, der Nummer der Zulassungsbescheinigung, der Vordrucknummer oder der von der Zulassungsbehörde aufgebrachten Nummer der Zulassungsbescheinigung Teil I, der Nummer einer ausländischen Zulassungsbescheinigung oder des Familiennamens, Vornamens, Ordens- oder Künstlernamens, Geburtsnamens, Datums und Ortes der Geburt oder im Fall einer juristischen Person, Behörde oder Vereinigung des Namens oder der Bezeichnung des Halters, sofern erforderlich in Verbindung mit der Anschrift des Halters die in den §§ 57 und 61 genannten Fahrzeugdaten, sowie die in § 59 genannten Halterdaten,</w:t>
      </w:r>
    </w:p>
    <w:p>
      <w:pPr>
        <w:ind w:left="420"/>
      </w:pPr>
      <w:r>
        <w:t xml:space="preserve">2. für Anfragen unter Verwendung eines Teils des Kennzeichens:</w:t>
      </w:r>
    </w:p>
    <w:p>
      <w:pPr>
        <w:ind w:left="780"/>
      </w:pPr>
      <w:r>
        <w:t xml:space="preserve">a) die mit dem angefragten Teil des Kennzeichens übereinstimmenden Kennzeichen,</w:t>
      </w:r>
    </w:p>
    <w:p>
      <w:pPr>
        <w:ind w:left="780"/>
      </w:pPr>
      <w:r>
        <w:t xml:space="preserve">b) die Daten über die Fahrzeugklasse, die Marke, die Handelsbezeichnung, den Typ und bei Personenkraftwagen die Farbe des Fahrzeuges sowie das Datum der ersten Zulassung und</w:t>
      </w:r>
    </w:p>
    <w:p>
      <w:pPr>
        <w:ind w:left="780"/>
      </w:pPr>
      <w:r>
        <w:t xml:space="preserve">c) bei Fahrzeugen mit Versicherungskennzeichen oder Versicherungsplakette zusätzlich zu den Angaben nach Buchstabe b der Beginn und das Ende des Versicherungsverhältnisses.</w:t>
      </w:r>
    </w:p>
    <w:p>
      <w:r>
        <w:t xml:space="preserve">Satz 1 Nummer 1 gilt nicht für die Sicherheitscodes der Zulassungsbescheinigung Teil I und Teil II sowie der Stempelplaketten.</w:t>
      </w:r>
    </w:p>
    <w:p>
      <w:r>
        <w:t xml:space="preserve">(2) Zur Übermittlung durch Abruf im automatisierten Verfahren aus dem Zentralen Fahrzeugregister nach § 36 Absatz 2 Satz 1 Nummer 1, 2, 2a und 4, Absatz 2a, 2h, 2l und 3 des Straßenverkehrsgesetzes dürfen folgende Daten bereitgehalten werden:</w:t>
      </w:r>
    </w:p>
    <w:p>
      <w:pPr>
        <w:ind w:left="420"/>
      </w:pPr>
      <w:r>
        <w:t xml:space="preserve">1. für eine Anfrage unter Verwendung des Kennzeichens, der Fahrzeug-Identifizierungsnummer, der Nummer der Zulassungsbescheinigung, die bei Teil I der Vordrucknummer oder der von der Zulassungsbehörde aufgebrachten Nummer entspricht, der Nummer einer ausländischen Zulassungsbescheinigung oder des Familiennamens, Vornamens, Ordens- oder Künstlernamens, Geburtsnamens, Datums und Ortes der Geburt oder im Fall einer juristischen Person, Behörde oder Vereinigung des Namens oder der Bezeichnung des Halters erforderlichenfalls in Verbindung mit der Anschrift des Halters:</w:t>
      </w:r>
    </w:p>
    <w:p>
      <w:pPr>
        <w:ind w:left="780"/>
      </w:pPr>
      <w:r>
        <w:t xml:space="preserve">a) die in § 57 Absatz 1 Nummer 1 bis 5, 7 bis 22 und 24 Buchstabe c, Nummer 25 und 26 Buchstabe a bis e, Nummer 30 bis 32, Absatz 2 Nummer 1 bis 4, Absatz 3 Nummer 1 bis 4, Absatz 4 Nummer 1 bis 4, Absatz 5 Nummer 1 bis 5, Absatz 6 Nummer 1 bis 4 und Absatz 8 bis 10 genannten Fahrzeugdaten und</w:t>
      </w:r>
    </w:p>
    <w:p>
      <w:pPr>
        <w:ind w:left="780"/>
      </w:pPr>
      <w:r>
        <w:t xml:space="preserve">b) die in § 59 Absatz 1 und 3 genannten Halterdaten,</w:t>
      </w:r>
    </w:p>
    <w:p>
      <w:pPr>
        <w:ind w:left="420"/>
      </w:pPr>
      <w:r>
        <w:t xml:space="preserve">2. für eine Anfrage unter Verwendung eines Teils des Kennzeichens:</w:t>
      </w:r>
    </w:p>
    <w:p>
      <w:pPr>
        <w:ind w:left="780"/>
      </w:pPr>
      <w:r>
        <w:t xml:space="preserve">a) die mit dem angefragten Teil des Kennzeichens übereinstimmenden Kennzeichen,</w:t>
      </w:r>
    </w:p>
    <w:p>
      <w:pPr>
        <w:ind w:left="780"/>
      </w:pPr>
      <w:r>
        <w:t xml:space="preserve">b) die Fahrzeugklasse, die Marke, die Handelsbezeichnung, der Typ und bei Personenkraftwagen die Farbe des Fahrzeuges sowie das Datum der ersten Zulassung und</w:t>
      </w:r>
    </w:p>
    <w:p>
      <w:pPr>
        <w:ind w:left="780"/>
      </w:pPr>
      <w:r>
        <w:t xml:space="preserve">c) bei Fahrzeugen mit Versicherungskennzeichen oder Versicherungsplakette zusätzlich zu den Angaben nach Buchstabe b der Beginn und das Ende des Versicherungsverhältnisses.</w:t>
      </w:r>
    </w:p>
    <w:p>
      <w:r>
        <w:t xml:space="preserve">Satz 1 Nummer 1 Buchstabe a gilt nicht für die Sicherheitscodes der Zulassungsbescheinigung Teil I und Teil II sowie der Stempelplaketten. Die in Satz 1 genannten Daten sind zur Übermittlung nach § 36 Absatz 2l des Straßenverkehrsgesetzes für die Zentralstelle für Sanktionsdurchsetzung bereitzuhalten.</w:t>
      </w:r>
    </w:p>
    <w:p>
      <w:r>
        <w:t xml:space="preserve">(3) Zur Übermittlung durch Abruf im automatisierten Verfahren aus dem Zentralen Fahrzeugregister nach § 36 Absatz 2 Satz 1 Nummer 1a und Absatz 2m des Straßenverkehrsgesetzes dürfen für eine Anfrage unter Verwendung des Kennzeichens oder der Fahrzeug-Identifizierungsnummer folgende Daten bereitgehalten werden:</w:t>
      </w:r>
    </w:p>
    <w:p>
      <w:pPr>
        <w:ind w:left="420"/>
      </w:pPr>
      <w:r>
        <w:t xml:space="preserve">1. das Kennzeichen, das Datum der Zuteilung des Kennzeichens, bei Saisonkennzeichen zusätzlich der Betriebszeitraum und das Datum der Außerbetriebsetzung des Fahrzeuges sowie die nach § 57 Absatz 1 Nummer 1 und 25 und Absatz 4 Nummer 1 zu erhebenden und zu speichernden Fahrzeugdaten und</w:t>
      </w:r>
    </w:p>
    <w:p>
      <w:pPr>
        <w:ind w:left="420"/>
      </w:pPr>
      <w:r>
        <w:t xml:space="preserve">2. die in § 59 Absatz 1 und 3 genannten Halterdaten.</w:t>
      </w:r>
    </w:p>
    <w:p>
      <w:r>
        <w:t xml:space="preserve">(4) Zur Übermittlung durch Abruf im automatisierten Verfahren aus dem Zentralen Fahrzeugregister nach § 36 Absatz 2j des Straßenverkehrsgesetzes dürfen für eine Anfrage unter Verwendung der Fahrzeug-Identifizierungsnummer und des Kennzeichens folgende Daten für das Bundesamt für Wirtschaft und Ausfuhrkontrolle bereitgehalten werden:</w:t>
      </w:r>
    </w:p>
    <w:p>
      <w:pPr>
        <w:ind w:left="420"/>
      </w:pPr>
      <w:r>
        <w:t xml:space="preserve">1. die in § 59 Absatz 1 und 3 genannten aktuellen und früheren Halterdaten und die Anzahl der früheren Halter,</w:t>
      </w:r>
    </w:p>
    <w:p>
      <w:pPr>
        <w:ind w:left="420"/>
      </w:pPr>
      <w:r>
        <w:t xml:space="preserve">2. die in § 57 Absatz 1 Nummer 1 in Verbindung mit § 6 Absatz 8 Satz 1 Nummer 2, 5 und 7 Buchstabe a, § 57 Absatz 1 Nummer 10 Buchstabe a und b sowie § 57 Absatz 1 Nummer 2 und 31 Buchstabe d und e genannten Fahrzeugdaten.</w:t>
      </w:r>
    </w:p>
    <w:p>
      <w:r>
        <w:t xml:space="preserve">(5) Zur Übermittlung durch Abruf im automatisierten Verfahren aus dem Zentralen Fahrzeugregister nach § 36 Absatz 2b des Straßenverkehrsgesetzes dürfen die nach § 59 Absatz 1 gespeicherten Halterdaten und die nach § 57 Absatz 1 Nummer 12 in Verbindung mit § 6 Absatz 8 Satz 1 Nummer 1 und 7 Buchstabe c bis e gespeicherten Fahrzeugdaten bereitgehalten werden, soweit sie für die Ermittlung des Schuldners und der Höhe der Mautgebühr nach dem Fernstraßenbauprivatfinanzierungsgesetz erforderlich sind. Die Daten nach Satz 1 sind für den mit der Erhebung der Mautgebühr nach dem Fernstraßenbauprivatfinanzierungsgesetz beliehenen Privaten zum Abruf bereitzuhalten. Gleiches gilt für Daten, soweit sie für die Ermittlung des Schuldners und der Höhe der Mautgebühr nach Gesetzen der Länder über den gebührenfinanzierten Neu- und Ausbau von Straßen erforderlich sind.</w:t>
      </w:r>
    </w:p>
    <w:p>
      <w:r>
        <w:t xml:space="preserve">(6) Die Übermittlung nach § 36 Absatz 2c des Straßenverkehrsgesetzes von Fahrzeugdaten und Daten von Fahrzeugkombinationen, die für die Erhebung der Maut nach dem Bundesfernstraßenmautgesetz maßgeblich sind, ist durch Abruf im automatisierten Verfahren zulässig. Satz 1 gilt auch für die in Feld 33 des Fahrzeugscheins oder Feld 22 der Zulassungsbescheinigung Teil I eingetragenen Fahrzeugdaten und Daten von Fahrzeugkombinationen, die im Zentralen Fahrzeugregister erfasst sind. Die Daten nach Satz 1 sind bereitzuhalten für das Bundesamt für Logistik und Mobilität und eine sonstige öffentliche Stelle, die mit der Erhebung der Autobahnmaut beauftragt ist.</w:t>
      </w:r>
    </w:p>
    <w:p>
      <w:r>
        <w:t xml:space="preserve">(7) Zur Übermittlung durch Abruf im automatisierten Verfahren dürfen aus dem Zentralen Fahrzeugregister nach § 36 Absatz 2d, 2e und 2k des Straßenverkehrsgesetzes die in Absatz 2 Satz 1 Nummer 1 Buchstabe a und b genannten Daten für eine Anfrage unter Verwendung folgender Angaben bereitgehalten werden:</w:t>
      </w:r>
    </w:p>
    <w:p>
      <w:pPr>
        <w:ind w:left="420"/>
      </w:pPr>
      <w:r>
        <w:t xml:space="preserve">1. im Fall einer natürlichen Person, Familienname, Vornamen, Ordens- oder Künstlername, Geburtsname, Datum und Ort der Geburt oder</w:t>
      </w:r>
    </w:p>
    <w:p>
      <w:pPr>
        <w:ind w:left="420"/>
      </w:pPr>
      <w:r>
        <w:t xml:space="preserve">2. im Fall einer juristischen Person, Behörde oder Vereinigung der Name oder die Bezeichnung des Halters, sofern erforderlich in Verbindung mit der Anschrift des Halters.</w:t>
      </w:r>
    </w:p>
    <w:p>
      <w:r>
        <w:t xml:space="preserve">Die in Satz 1 genannten Daten sind bereitzuhalten für die zentrale Behörde nach § 4 des Auslandsunterhaltsgesetzes sowie für Gerichtsvollzieher und das Insolvenzgericht.</w:t>
      </w:r>
    </w:p>
    <w:p>
      <w:r>
        <w:t xml:space="preserve">(8) Zur Übermittlung durch Abruf im automatisierten Verfahren aus dem Zentralen Fahrzeugregister nach § 36 Absatz 2f des Straßenverkehrsgesetzes dürfen die in § 61 Absatz 1 Satz 1 Nummer 7, 9 bis 12, 15, 16, Absatz 2 Satz 1 Nummer 1 bis 7, 12, 18 bis 20 und Absatz 3 genannten Daten der jeweils letzten gespeicherten Hauptuntersuchung oder Sicherheitsprüfung für eine Anfrage unter Verwendung der Fahrzeug-Identifizierungsnummer und, sofern zugeteilt, des Kennzeichens bereitgehalten werden. Die in Satz 1 genannten Daten sind bereitzuhalten für die Technischen Prüfstellen für den Kraftfahrzeugverkehr und für die amtlich anerkannten Überwachungsorganisationen, auch über ihre jeweiligen Kopfstellen, sowie über Kopfstellen für die anerkannten Kraftfahrzeugwerkstätten, soweit diese Werkstätten Sicherheitsprüfungen durchführen. Die Verwendung der Daten durch die Technischen Prüfstellen für den Kraftfahrzeugverkehr, durch die amtlich anerkannten Überwachungsorganisationen und durch die anerkannten Kraftfahrzeugwerkstätten ist auf die Zwecke der Durchführung der nächsten Hauptuntersuchung oder Sicherheitsprüfung nach § 29 der Straßenverkehrs-Zulassungs-Ordnung beschränkt. Nach Durchführung der nächsten Hauptuntersuchung oder Sicherheitsprüfung nach § 29 der Straßenverkehrs-Zulassungs-Ordnung sind die Daten unverzüglich zu löschen. Die Daten dürfen weder an Dritte übermittelt noch offengelegt werden.</w:t>
      </w:r>
    </w:p>
    <w:p>
      <w:r>
        <w:t xml:space="preserve">(9) Zur Übermittlung durch Abruf im automatisierten Verfahren aus dem Zentralen Fahrzeugregister nach § 36 Absatz 3a des Straßenverkehrsgesetzes für Maßnahmen zur Gewährleistung des Versicherungsschutzes im Rahmen der Kraftfahrzeug-Haftpflichtversicherung dürfen die nach § 59 Absatz 1 zu erhebenden und zu speichernden Halterdaten und die in § 57 Absatz 1 Nummer 24, Absatz 2 Nummer 4, Absatz 4 Nummer 4, Absatz 5 Nummer 5, Absatz 6 Nummer 4 genannten Daten zur Kraftfahrzeug-Haftpflichtversicherung bereitgehalten werden. Die in Satz 1 genannten Daten sind bereitzuhalten für die nach § 8a Absatz 1 Satz 1 des Pflichtversicherungsgesetzes eingerichtete Auskunftsstelle.</w:t>
      </w:r>
    </w:p>
    <w:p>
      <w:r>
        <w:t xml:space="preserve">(10) Die Übermittlung nach § 36 Absatz 3b des Straßenverkehrsgesetzes von Fahrzeugdaten nach § 57 Absatz 1 Nummer 1 bis 5, 9 bis 13, 20, 25, 26 Buchstabe d und f, Nummer 29, 30, 31 Buchstabe d und e, Absatz 2 Nummer 1 bis 3, Absatz 4 Nummer 2 und Absatz 8 und 9 darf durch Abruf im automatisierten Verfahren erfolgen.</w:t>
      </w:r>
    </w:p>
    <w:p>
      <w:r>
        <w:t xml:space="preserve">(11) Die Übermittlung nach § 36 Absatz 3c des Straßenverkehrsgesetzes von Fahrzeugdaten nach § 57 Absatz 1 Nummer 1 bis 5, 9, 25, 31 Buchstabe d und e und Absatz 4 Nummer 1 und 2 darf durch Abruf im automatisierten Verfahren erfolgen.</w:t>
      </w:r>
    </w:p>
    <w:p>
      <w:r>
        <w:t xml:space="preserve">(12) Zur Übermittlung durch Abruf im automatisierten Verfahren aus den örtlichen Fahrzeugregistern nach § 36 Absatz 2 Satz 2 des Straßenverkehrsgesetzes dürfen folgende Daten bereitgehalten werden:</w:t>
      </w:r>
    </w:p>
    <w:p>
      <w:pPr>
        <w:ind w:left="420"/>
      </w:pPr>
      <w:r>
        <w:t xml:space="preserve">1. für eine Anfrage unter Verwendung des Kennzeichens oder der Fahrzeug-Identifizierungsnummer:</w:t>
      </w:r>
    </w:p>
    <w:p>
      <w:pPr>
        <w:ind w:left="780"/>
      </w:pPr>
      <w:r>
        <w:t xml:space="preserve">a) die nach § 59 Absatz 1 zu erhebenden und zu speichernden Halterdaten und</w:t>
      </w:r>
    </w:p>
    <w:p>
      <w:pPr>
        <w:ind w:left="780"/>
      </w:pPr>
      <w:r>
        <w:t xml:space="preserve">b) die nach § 58 Absatz 1 Nummer 1, 3 bis 5, 7 bis 20, 22 bis 30, Absatz 2 Nummer 1 bis 4 und Absatz 4 Nummer 1 bis 4 zu erhebenden und zu speichernden Fahrzeugdaten,</w:t>
      </w:r>
    </w:p>
    <w:p>
      <w:pPr>
        <w:ind w:left="420"/>
      </w:pPr>
      <w:r>
        <w:t xml:space="preserve">2. für eine Anfrage unter Verwendung eines Teils des Kennzeichens: die in Absatz 2 Satz 1 Nummer 2 bezeichneten Daten,</w:t>
      </w:r>
    </w:p>
    <w:p>
      <w:pPr>
        <w:ind w:left="420"/>
      </w:pPr>
      <w:r>
        <w:t xml:space="preserve">3. für eine Anfrage unter Verwendung des Familiennamens, Vornamens, Ordens- oder Künstlernamens, Geburtsnamens, Datums und Ortes der Geburt des Halters oder im Fall einer juristischen Person, Behörde oder Vereinigung des Namens oder der Bezeichnung des Halters oder unter Verwendung der Anschrift des Halters: die in Nummer 1 bezeichneten Daten.</w:t>
      </w:r>
    </w:p>
    <w:p>
      <w:r>
        <w:t xml:space="preserve">(13) Ein Abruf im automatisierten Verfahren soll von der abrufberechtigten Stelle über Kopfstellen erfolgen. Die Einzelheiten zur netztechnischen Anbindung hat das Kraftfahrt-Bundesamt festzulegen und auf der Internetseite des Kraftfahrt-Bundesamts zu veröffentlichen. Das Kraftfahrt-Bundesamt hat auf Änderungen im Bundesanzeiger und im Verkehrsblatt hinzuweisen. Eine Erhebung und Speicherung der Anfrage- und Auskunftsdaten bei den Kopfstellen darf ausschließlich zum Zweck der Weiterübermittlung erfolgen. Nach erfolgter Weiterübermittlung haben die Kopfstellen diese gespeicherten Daten unverzüglich, bei elektronischer Speicherung automatisiert, zu löschen. § 68 bleibt unberührt.</w:t>
      </w:r>
    </w:p>
    <w:p>
      <w:r>
        <w:rPr>
          <w:color w:val="555555"/>
          <w:sz w:val="17"/>
        </w:rPr>
        <w:t xml:space="preserve">Zitiervorschlag: § 66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