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FZV 2023 — Übermittlung von Daten an Stellen zur Durchführung des Bundesleistungsgesetzes, des Verkehrssicherstellungsgesetzes, des Verkehrsleistungsgesetzes und von Maßnahmen des Katastrophenschutzes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 Zulassungsbehörde darf bei einem Fahrzeug, dem ein Kennzeichen zugeteilt ist,</w:t>
      </w:r>
    </w:p>
    <w:p>
      <w:pPr>
        <w:ind w:left="420"/>
      </w:pPr>
      <w:r>
        <w:t xml:space="preserve">1. für die Zwecke des Bundesleistungsgesetzes den nach § 5 des Bundesleistungsgesetzes bestimmten Anforderungsbehörden,</w:t>
      </w:r>
    </w:p>
    <w:p>
      <w:pPr>
        <w:ind w:left="420"/>
      </w:pPr>
      <w:r>
        <w:t xml:space="preserve">2. für die Zwecke des Verkehrssicherstellungsgesetzes den nach § 19 des Verkehrssicherstellungsgesetzes bestimmten Behörden,</w:t>
      </w:r>
    </w:p>
    <w:p>
      <w:pPr>
        <w:ind w:left="420"/>
      </w:pPr>
      <w:r>
        <w:t xml:space="preserve">3. für die Zwecke des Verkehrsleistungsgesetzes dem Bundesamt für Logistik und Mobilität sowie</w:t>
      </w:r>
    </w:p>
    <w:p>
      <w:pPr>
        <w:ind w:left="420"/>
      </w:pPr>
      <w:r>
        <w:t xml:space="preserve">4. für die Zwecke des Katastrophenschutzes den Stellen, die nach den von den Ländern für Maßnahmen des Katastrophenschutzes erlassenen Gesetzen zuständig sind,</w:t>
      </w:r>
    </w:p>
    <w:p>
      <w:r>
        <w:t xml:space="preserve">auf entsprechende Anforderung die nach § 58 Absatz 1 gespeicherten Fahrzeugdaten sowie die nach § 59 Absatz 1 Satz 1 Nummer 2 und Satz 2 gespeicherten Halterdaten übermitteln.</w:t>
      </w:r>
    </w:p>
    <w:p>
      <w:r>
        <w:t xml:space="preserve">(2) Das Kraftfahrt-Bundesamt darf bei einem Fahrzeug, dem ein Kennzeichen zugeteilt ist,</w:t>
      </w:r>
    </w:p>
    <w:p>
      <w:pPr>
        <w:ind w:left="420"/>
      </w:pPr>
      <w:r>
        <w:t xml:space="preserve">1. für die Zwecke des Bundesleistungsgesetzes den nach § 5 des Bundesleistungsgesetzes bestimmten Anforderungsbehörden und den diesen vorgesetzten Behörden,</w:t>
      </w:r>
    </w:p>
    <w:p>
      <w:pPr>
        <w:ind w:left="420"/>
      </w:pPr>
      <w:r>
        <w:t xml:space="preserve">2. für die Zwecke des Verkehrssicherstellungsgesetzes den nach § 19 des Verkehrssicherstellungsgesetzes bestimmten Behörden,</w:t>
      </w:r>
    </w:p>
    <w:p>
      <w:pPr>
        <w:ind w:left="420"/>
      </w:pPr>
      <w:r>
        <w:t xml:space="preserve">3. für die Zwecke des Verkehrsleistungsgesetzes dem Bundesamt für Logistik und Mobilität sowie</w:t>
      </w:r>
    </w:p>
    <w:p>
      <w:pPr>
        <w:ind w:left="420"/>
      </w:pPr>
      <w:r>
        <w:t xml:space="preserve">4. für die Zwecke des Katastrophenschutzes den Stellen, die nach den von den Ländern für Maßnahmen des Katastrophenschutzes erlassenen Gesetzen zuständig sind, und den diesen Stellen vorgesetzten Behörden</w:t>
      </w:r>
    </w:p>
    <w:p>
      <w:r>
        <w:t xml:space="preserve">auf entsprechende Anforderung die nach § 57 Absatz 1 gespeicherten Fahrzeugdaten und die nach § 59 Absatz 1 Satz 1 Nummer 1 und Satz 2 gespeicherten Halterdaten übermitteln. Satz 1 gilt nicht für die Sicherheitscodes der Zulassungsbescheinigung Teil I und Teil II sowie der Stempelplaketten.</w:t>
      </w:r>
    </w:p>
    <w:p>
      <w:r>
        <w:rPr>
          <w:color w:val="555555"/>
          <w:sz w:val="17"/>
        </w:rPr>
        <w:t xml:space="preserve">Zitiervorschlag: § 64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