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FZV 2023 — Mitteilungspflichten der Zulassungsbehörde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Zulassungsbehörde hat den Versicherer zum Zweck der Gewährleistung des Versicherungsschutzes im Rahmen der Kraftfahrzeug-Haftpflichtversicherung zu unterrichten über</w:t>
      </w:r>
    </w:p>
    <w:p>
      <w:pPr>
        <w:ind w:left="420"/>
      </w:pPr>
      <w:r>
        <w:t xml:space="preserve">1. die Zuteilung des Kennzeichens, bei einem mit einem Wechselkennzeichen zugelassenen Fahrzeug über die Zuteilung des Wechselkennzeichens,</w:t>
      </w:r>
    </w:p>
    <w:p>
      <w:pPr>
        <w:ind w:left="420"/>
      </w:pPr>
      <w:r>
        <w:t xml:space="preserve">2. die Änderung der Anschrift des Halters,</w:t>
      </w:r>
    </w:p>
    <w:p>
      <w:pPr>
        <w:ind w:left="420"/>
      </w:pPr>
      <w:r>
        <w:t xml:space="preserve">3. den Zugang einer Bestätigung über den Abschluss einer neuen Versicherung,</w:t>
      </w:r>
    </w:p>
    <w:p>
      <w:pPr>
        <w:ind w:left="420"/>
      </w:pPr>
      <w:r>
        <w:t xml:space="preserve">4. den Zugang einer Anzeige über die Außerbetriebsetzung,</w:t>
      </w:r>
    </w:p>
    <w:p>
      <w:pPr>
        <w:ind w:left="420"/>
      </w:pPr>
      <w:r>
        <w:t xml:space="preserve">5. die Änderung der Fahrzeugklasse,</w:t>
      </w:r>
    </w:p>
    <w:p>
      <w:pPr>
        <w:ind w:left="420"/>
      </w:pPr>
      <w:r>
        <w:t xml:space="preserve">6. das Ablaufdatum der Reservierung des Kennzeichens bei Außerbetriebsetzung, bei Wechselkennzeichen zusätzlich über auf das dem Wechselkennzeichen zugehörige andere Kennzeichen und</w:t>
      </w:r>
    </w:p>
    <w:p>
      <w:pPr>
        <w:ind w:left="420"/>
      </w:pPr>
      <w:r>
        <w:t xml:space="preserve">7. die Verwendung des Fahrzeuges nach § 6 Absatz 5 Nummer 1</w:t>
      </w:r>
    </w:p>
    <w:p>
      <w:r>
        <w:t xml:space="preserve">und hierfür die in § 62 genannten Daten, soweit erforderlich, zu übermitteln.</w:t>
      </w:r>
    </w:p>
    <w:p>
      <w:r>
        <w:t xml:space="preserve">(2) Die Mitteilung ist elektronisch nach Maßgabe des § 62 Absatz 3 und der vom Kraftfahrt-Bundesamt herausgegebenen Standards zu übermitteln.</w:t>
      </w:r>
    </w:p>
    <w:p>
      <w:r>
        <w:rPr>
          <w:color w:val="555555"/>
          <w:sz w:val="17"/>
        </w:rPr>
        <w:t xml:space="preserve">Zitiervorschlag: § 50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