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FZV 2023 — Beschränkung und Untersagung des Betriebs ausländischer Fahrzeuge</w:t>
      </w:r>
    </w:p>
    <w:p>
      <w:r>
        <w:rPr>
          <w:color w:val="555555"/>
          <w:sz w:val="18"/>
        </w:rPr>
        <w:t xml:space="preserve">Fahrzeug-Zulassungsverordnung</w:t>
      </w:r>
    </w:p>
    <w:p>
      <w:r>
        <w:rPr>
          <w:color w:val="555555"/>
          <w:sz w:val="18"/>
        </w:rPr>
        <w:t xml:space="preserve">Stand: 01.09.2023 (konsolidierte Textfassung, kein amtliches Inkrafttretensdatum)</w:t>
      </w:r>
    </w:p>
    <w:p>
      <w:r>
        <w:t xml:space="preserve">(1) Erweist sich ein ausländisches Fahrzeug als nicht vorschriftsmäßig, ist § 5 anzuwenden.</w:t>
      </w:r>
    </w:p>
    <w:p>
      <w:r>
        <w:t xml:space="preserve">(2) Sofern der Betrieb des Fahrzeuges untersagt ist, ist die im Ausland ausgestellte Zulassungsbescheinigung oder der Internationale Zulassungsschein an die ausstellende Stelle zurückzusenden. Hat der Halter oder Eigentümer des Fahrzeuges keinen Wohn- oder Aufenthaltsort in der Bundesrepublik Deutschland, ist für Maßnahmen nach Satz 1 jede Verwaltungsbehörde nach § 75 Absatz 1 zuständig.</w:t>
      </w:r>
    </w:p>
    <w:p>
      <w:r>
        <w:rPr>
          <w:color w:val="555555"/>
          <w:sz w:val="17"/>
        </w:rPr>
        <w:t xml:space="preserve">Zitiervorschlag: § 48 FZV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https://recht.nulegal.eu/gesetze/FZV%202023/48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