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FZV 2023 — Fahrten im internationalen Verkehr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Stand: 01.09.2023 (konsolidierte Textfassung, kein amtliches Inkrafttretensdatum)</w:t>
      </w:r>
    </w:p>
    <w:p>
      <w:r>
        <w:t xml:space="preserve">Für ein Fahrzeug, für das ein Kennzeichen zugeteilt ist, wird auf Antrag ein Internationaler Zulassungsschein nach Artikel 4 und Anlage B des Internationalen Abkommens vom 24. April 1926 über Kraftfahrzeugverkehr (RGBl. 1930 II S. 1233) ausgestellt.</w:t>
      </w:r>
    </w:p>
    <w:p>
      <w:r>
        <w:rPr>
          <w:color w:val="555555"/>
          <w:sz w:val="17"/>
        </w:rPr>
        <w:t xml:space="preserve">Zitiervorschlag: § 44 FZV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https://recht.nulegal.eu/gesetze/FZV%202023/44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